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20" w:lineRule="exact"/>
        <w:jc w:val="center"/>
        <w:rPr>
          <w:rFonts w:hint="eastAsia" w:ascii="楷体" w:hAnsi="楷体" w:eastAsia="楷体"/>
          <w:sz w:val="84"/>
          <w:szCs w:val="84"/>
        </w:rPr>
      </w:pPr>
    </w:p>
    <w:p>
      <w:pPr>
        <w:spacing w:line="1120" w:lineRule="exact"/>
        <w:rPr>
          <w:rFonts w:hint="eastAsia" w:ascii="楷体" w:hAnsi="楷体" w:eastAsia="楷体"/>
          <w:sz w:val="84"/>
          <w:szCs w:val="84"/>
        </w:rPr>
      </w:pPr>
    </w:p>
    <w:p>
      <w:pPr>
        <w:spacing w:line="1120" w:lineRule="exact"/>
        <w:jc w:val="center"/>
        <w:rPr>
          <w:rFonts w:hint="eastAsia" w:ascii="楷体" w:hAnsi="楷体" w:eastAsia="楷体"/>
          <w:spacing w:val="-11"/>
          <w:sz w:val="72"/>
          <w:szCs w:val="72"/>
        </w:rPr>
      </w:pPr>
      <w:r>
        <w:rPr>
          <w:rFonts w:hint="eastAsia" w:ascii="楷体" w:hAnsi="楷体" w:eastAsia="楷体"/>
          <w:spacing w:val="-11"/>
          <w:sz w:val="72"/>
          <w:szCs w:val="72"/>
        </w:rPr>
        <w:t>县</w:t>
      </w:r>
      <w:r>
        <w:rPr>
          <w:rFonts w:hint="eastAsia" w:ascii="楷体" w:hAnsi="楷体" w:eastAsia="楷体"/>
          <w:spacing w:val="-11"/>
          <w:sz w:val="72"/>
          <w:szCs w:val="72"/>
          <w:lang w:val="en-US" w:eastAsia="zh-CN"/>
        </w:rPr>
        <w:t>十八届</w:t>
      </w:r>
      <w:r>
        <w:rPr>
          <w:rFonts w:hint="eastAsia" w:ascii="楷体" w:hAnsi="楷体" w:eastAsia="楷体"/>
          <w:spacing w:val="-11"/>
          <w:sz w:val="72"/>
          <w:szCs w:val="72"/>
        </w:rPr>
        <w:t>人大常委会</w:t>
      </w:r>
    </w:p>
    <w:p>
      <w:pPr>
        <w:spacing w:line="1120" w:lineRule="exact"/>
        <w:jc w:val="center"/>
        <w:rPr>
          <w:rFonts w:hint="eastAsia" w:ascii="楷体" w:hAnsi="楷体" w:eastAsia="楷体"/>
          <w:sz w:val="72"/>
          <w:szCs w:val="72"/>
        </w:rPr>
      </w:pPr>
      <w:r>
        <w:rPr>
          <w:rFonts w:hint="eastAsia" w:ascii="楷体" w:hAnsi="楷体" w:eastAsia="楷体"/>
          <w:sz w:val="72"/>
          <w:szCs w:val="72"/>
        </w:rPr>
        <w:t>第</w:t>
      </w:r>
      <w:r>
        <w:rPr>
          <w:rFonts w:hint="eastAsia" w:ascii="楷体" w:hAnsi="楷体" w:eastAsia="楷体"/>
          <w:sz w:val="72"/>
          <w:szCs w:val="72"/>
          <w:lang w:val="en-US" w:eastAsia="zh-CN"/>
        </w:rPr>
        <w:t>一</w:t>
      </w:r>
      <w:r>
        <w:rPr>
          <w:rFonts w:hint="eastAsia" w:ascii="楷体" w:hAnsi="楷体" w:eastAsia="楷体"/>
          <w:sz w:val="72"/>
          <w:szCs w:val="72"/>
        </w:rPr>
        <w:t>期“法治讲座”材料</w:t>
      </w:r>
    </w:p>
    <w:p>
      <w:pPr>
        <w:spacing w:line="1440" w:lineRule="exact"/>
        <w:jc w:val="center"/>
        <w:rPr>
          <w:rFonts w:hint="eastAsia" w:ascii="楷体" w:hAnsi="楷体" w:eastAsia="楷体"/>
          <w:sz w:val="144"/>
          <w:szCs w:val="1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r>
        <w:rPr>
          <w:rFonts w:hint="eastAsia" w:ascii="楷体" w:hAnsi="楷体" w:eastAsia="楷体"/>
          <w:sz w:val="44"/>
          <w:szCs w:val="44"/>
        </w:rPr>
        <w:t>霍邱县人大常委会办公室</w:t>
      </w: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r>
        <w:rPr>
          <w:rFonts w:hint="eastAsia" w:ascii="楷体" w:hAnsi="楷体" w:eastAsia="楷体"/>
          <w:sz w:val="44"/>
          <w:szCs w:val="44"/>
        </w:rPr>
        <w:t>202</w:t>
      </w:r>
      <w:r>
        <w:rPr>
          <w:rFonts w:hint="eastAsia" w:ascii="楷体" w:hAnsi="楷体" w:eastAsia="楷体"/>
          <w:sz w:val="44"/>
          <w:szCs w:val="44"/>
          <w:lang w:val="en-US" w:eastAsia="zh-CN"/>
        </w:rPr>
        <w:t>2</w:t>
      </w:r>
      <w:r>
        <w:rPr>
          <w:rFonts w:hint="eastAsia" w:ascii="楷体" w:hAnsi="楷体" w:eastAsia="楷体"/>
          <w:sz w:val="44"/>
          <w:szCs w:val="44"/>
        </w:rPr>
        <w:t>年7月</w:t>
      </w:r>
      <w:r>
        <w:rPr>
          <w:rFonts w:hint="eastAsia" w:ascii="楷体" w:hAnsi="楷体" w:eastAsia="楷体"/>
          <w:sz w:val="44"/>
          <w:szCs w:val="44"/>
          <w:lang w:val="en-US" w:eastAsia="zh-CN"/>
        </w:rPr>
        <w:t>11</w:t>
      </w:r>
      <w:r>
        <w:rPr>
          <w:rFonts w:hint="eastAsia" w:ascii="楷体" w:hAnsi="楷体" w:eastAsia="楷体"/>
          <w:sz w:val="44"/>
          <w:szCs w:val="44"/>
        </w:rPr>
        <w:t>日</w:t>
      </w: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sz w:val="44"/>
          <w:szCs w:val="44"/>
        </w:rPr>
      </w:pPr>
    </w:p>
    <w:p>
      <w:pPr>
        <w:spacing w:line="500" w:lineRule="exact"/>
        <w:jc w:val="center"/>
        <w:rPr>
          <w:rFonts w:hint="eastAsia" w:ascii="楷体" w:hAnsi="楷体" w:eastAsia="楷体"/>
          <w:color w:val="000000"/>
          <w:spacing w:val="-20"/>
          <w:sz w:val="44"/>
          <w:szCs w:val="44"/>
        </w:rPr>
      </w:pPr>
    </w:p>
    <w:p>
      <w:pPr>
        <w:spacing w:line="500" w:lineRule="exact"/>
        <w:jc w:val="center"/>
        <w:rPr>
          <w:rFonts w:hint="eastAsia" w:ascii="楷体" w:hAnsi="楷体" w:eastAsia="楷体"/>
          <w:color w:val="000000"/>
          <w:spacing w:val="-20"/>
          <w:sz w:val="44"/>
          <w:szCs w:val="44"/>
        </w:rPr>
      </w:pPr>
    </w:p>
    <w:p>
      <w:pPr>
        <w:spacing w:line="500" w:lineRule="exact"/>
        <w:jc w:val="center"/>
        <w:rPr>
          <w:rFonts w:hint="eastAsia" w:ascii="楷体" w:hAnsi="楷体" w:eastAsia="楷体"/>
          <w:color w:val="000000"/>
          <w:spacing w:val="-20"/>
          <w:sz w:val="44"/>
          <w:szCs w:val="44"/>
        </w:rPr>
      </w:pPr>
    </w:p>
    <w:p>
      <w:pPr>
        <w:spacing w:line="500" w:lineRule="exact"/>
        <w:jc w:val="center"/>
        <w:rPr>
          <w:rFonts w:hint="eastAsia" w:ascii="楷体" w:hAnsi="楷体" w:eastAsia="楷体"/>
          <w:color w:val="000000"/>
          <w:sz w:val="44"/>
          <w:szCs w:val="44"/>
          <w:lang w:eastAsia="zh-CN"/>
        </w:rPr>
      </w:pPr>
      <w:r>
        <w:rPr>
          <w:rFonts w:hint="eastAsia" w:ascii="楷体" w:hAnsi="楷体" w:eastAsia="楷体"/>
          <w:color w:val="000000"/>
          <w:spacing w:val="-20"/>
          <w:sz w:val="44"/>
          <w:szCs w:val="44"/>
        </w:rPr>
        <w:t>县</w:t>
      </w:r>
      <w:r>
        <w:rPr>
          <w:rFonts w:hint="eastAsia" w:ascii="楷体" w:hAnsi="楷体" w:eastAsia="楷体"/>
          <w:color w:val="000000"/>
          <w:spacing w:val="-20"/>
          <w:sz w:val="44"/>
          <w:szCs w:val="44"/>
          <w:lang w:val="en-US" w:eastAsia="zh-CN"/>
        </w:rPr>
        <w:t>十八届</w:t>
      </w:r>
      <w:r>
        <w:rPr>
          <w:rFonts w:hint="eastAsia" w:ascii="楷体" w:hAnsi="楷体" w:eastAsia="楷体"/>
          <w:color w:val="000000"/>
          <w:spacing w:val="-20"/>
          <w:sz w:val="44"/>
          <w:szCs w:val="44"/>
        </w:rPr>
        <w:t>人大常委会第一期“法治讲座”方</w:t>
      </w:r>
      <w:r>
        <w:rPr>
          <w:rFonts w:hint="eastAsia" w:ascii="楷体" w:hAnsi="楷体" w:eastAsia="楷体"/>
          <w:color w:val="000000"/>
          <w:sz w:val="44"/>
          <w:szCs w:val="44"/>
        </w:rPr>
        <w:t>案</w:t>
      </w:r>
    </w:p>
    <w:p>
      <w:pPr>
        <w:spacing w:line="560" w:lineRule="exact"/>
        <w:ind w:firstLine="640" w:firstLineChars="200"/>
        <w:jc w:val="center"/>
        <w:rPr>
          <w:rFonts w:hint="eastAsia" w:ascii="仿宋" w:hAnsi="仿宋" w:eastAsia="仿宋"/>
          <w:color w:val="000000"/>
          <w:sz w:val="32"/>
          <w:szCs w:val="32"/>
        </w:rPr>
      </w:pPr>
      <w:r>
        <w:rPr>
          <w:rFonts w:hint="eastAsia" w:ascii="仿宋" w:hAnsi="仿宋" w:eastAsia="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b/>
          <w:color w:val="000000"/>
          <w:sz w:val="32"/>
          <w:szCs w:val="32"/>
        </w:rPr>
      </w:pPr>
      <w:r>
        <w:rPr>
          <w:rFonts w:hint="eastAsia" w:ascii="仿宋" w:hAnsi="仿宋" w:eastAsia="仿宋"/>
          <w:sz w:val="32"/>
          <w:szCs w:val="32"/>
        </w:rPr>
        <w:t>为进一步提高县人大常委会组成人员和全县人大工作者法治素养和依法履职能力，适应新时代人大工作要求，</w:t>
      </w:r>
      <w:r>
        <w:rPr>
          <w:rFonts w:hint="eastAsia" w:ascii="仿宋" w:hAnsi="仿宋" w:eastAsia="仿宋"/>
          <w:color w:val="000000"/>
          <w:sz w:val="32"/>
          <w:szCs w:val="32"/>
        </w:rPr>
        <w:t>根据县人大常委会202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年工作</w:t>
      </w:r>
      <w:r>
        <w:rPr>
          <w:rFonts w:hint="eastAsia" w:ascii="仿宋" w:hAnsi="仿宋" w:eastAsia="仿宋"/>
          <w:color w:val="000000"/>
          <w:sz w:val="32"/>
          <w:szCs w:val="32"/>
          <w:lang w:val="en-US" w:eastAsia="zh-CN"/>
        </w:rPr>
        <w:t>要点</w:t>
      </w:r>
      <w:bookmarkStart w:id="0" w:name="_GoBack"/>
      <w:bookmarkEnd w:id="0"/>
      <w:r>
        <w:rPr>
          <w:rFonts w:hint="eastAsia" w:ascii="仿宋" w:hAnsi="仿宋" w:eastAsia="仿宋"/>
          <w:color w:val="000000"/>
          <w:sz w:val="32"/>
          <w:szCs w:val="32"/>
        </w:rPr>
        <w:t>安排，举办第</w:t>
      </w:r>
      <w:r>
        <w:rPr>
          <w:rFonts w:hint="eastAsia" w:ascii="仿宋" w:hAnsi="仿宋" w:eastAsia="仿宋"/>
          <w:color w:val="000000"/>
          <w:sz w:val="32"/>
          <w:szCs w:val="32"/>
          <w:lang w:val="en-US" w:eastAsia="zh-CN"/>
        </w:rPr>
        <w:t>一</w:t>
      </w:r>
      <w:r>
        <w:rPr>
          <w:rFonts w:hint="eastAsia" w:ascii="仿宋" w:hAnsi="仿宋" w:eastAsia="仿宋"/>
          <w:color w:val="000000"/>
          <w:sz w:val="32"/>
          <w:szCs w:val="32"/>
        </w:rPr>
        <w:t>期“法治讲座”，具体方案如下：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color w:val="000000"/>
          <w:sz w:val="32"/>
          <w:szCs w:val="32"/>
        </w:rPr>
      </w:pPr>
      <w:r>
        <w:rPr>
          <w:rFonts w:hint="eastAsia" w:ascii="楷体" w:hAnsi="楷体" w:eastAsia="楷体"/>
          <w:b/>
          <w:color w:val="000000"/>
          <w:sz w:val="32"/>
          <w:szCs w:val="32"/>
        </w:rPr>
        <w:t>一、时间和地点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pacing w:val="-20"/>
          <w:sz w:val="32"/>
          <w:szCs w:val="32"/>
        </w:rPr>
        <w:t>年</w:t>
      </w:r>
      <w:r>
        <w:rPr>
          <w:rFonts w:hint="eastAsia" w:ascii="仿宋" w:hAnsi="仿宋" w:eastAsia="仿宋"/>
          <w:color w:val="000000"/>
          <w:spacing w:val="-20"/>
          <w:sz w:val="32"/>
          <w:szCs w:val="32"/>
          <w:lang w:val="en-US" w:eastAsia="zh-CN"/>
        </w:rPr>
        <w:t>7</w:t>
      </w:r>
      <w:r>
        <w:rPr>
          <w:rFonts w:hint="eastAsia" w:ascii="仿宋" w:hAnsi="仿宋" w:eastAsia="仿宋"/>
          <w:color w:val="000000"/>
          <w:spacing w:val="-20"/>
          <w:sz w:val="32"/>
          <w:szCs w:val="32"/>
        </w:rPr>
        <w:t>月</w:t>
      </w:r>
      <w:r>
        <w:rPr>
          <w:rFonts w:hint="eastAsia" w:ascii="仿宋" w:hAnsi="仿宋" w:eastAsia="仿宋"/>
          <w:color w:val="000000"/>
          <w:spacing w:val="-20"/>
          <w:sz w:val="32"/>
          <w:szCs w:val="32"/>
          <w:lang w:val="en-US" w:eastAsia="zh-CN"/>
        </w:rPr>
        <w:t>11</w:t>
      </w:r>
      <w:r>
        <w:rPr>
          <w:rFonts w:hint="eastAsia" w:ascii="仿宋" w:hAnsi="仿宋" w:eastAsia="仿宋"/>
          <w:color w:val="000000"/>
          <w:spacing w:val="-20"/>
          <w:sz w:val="32"/>
          <w:szCs w:val="32"/>
        </w:rPr>
        <w:t>日</w:t>
      </w:r>
      <w:r>
        <w:rPr>
          <w:rFonts w:hint="eastAsia" w:ascii="仿宋" w:hAnsi="仿宋" w:eastAsia="仿宋"/>
          <w:color w:val="000000"/>
          <w:spacing w:val="-20"/>
          <w:sz w:val="32"/>
          <w:szCs w:val="32"/>
          <w:lang w:val="en-US" w:eastAsia="zh-CN"/>
        </w:rPr>
        <w:t>下</w:t>
      </w:r>
      <w:r>
        <w:rPr>
          <w:rFonts w:hint="eastAsia" w:ascii="仿宋" w:hAnsi="仿宋" w:eastAsia="仿宋"/>
          <w:color w:val="000000"/>
          <w:spacing w:val="-20"/>
          <w:sz w:val="32"/>
          <w:szCs w:val="32"/>
        </w:rPr>
        <w:t>午</w:t>
      </w:r>
      <w:r>
        <w:rPr>
          <w:rFonts w:hint="eastAsia" w:ascii="仿宋" w:hAnsi="仿宋" w:eastAsia="仿宋"/>
          <w:color w:val="000000"/>
          <w:spacing w:val="-20"/>
          <w:sz w:val="32"/>
          <w:szCs w:val="32"/>
          <w:lang w:val="en-US" w:eastAsia="zh-CN"/>
        </w:rPr>
        <w:t>2</w:t>
      </w:r>
      <w:r>
        <w:rPr>
          <w:rFonts w:hint="eastAsia" w:ascii="仿宋" w:hAnsi="仿宋" w:eastAsia="仿宋"/>
          <w:color w:val="000000"/>
          <w:spacing w:val="-20"/>
          <w:sz w:val="32"/>
          <w:szCs w:val="32"/>
        </w:rPr>
        <w:t>:30</w:t>
      </w:r>
      <w:r>
        <w:rPr>
          <w:rFonts w:hint="eastAsia" w:ascii="仿宋" w:hAnsi="仿宋" w:eastAsia="仿宋"/>
          <w:color w:val="000000"/>
          <w:sz w:val="32"/>
          <w:szCs w:val="32"/>
        </w:rPr>
        <w:t xml:space="preserve"> ，</w:t>
      </w:r>
      <w:r>
        <w:rPr>
          <w:rFonts w:hint="eastAsia" w:ascii="仿宋" w:hAnsi="仿宋" w:eastAsia="仿宋"/>
          <w:color w:val="000000"/>
          <w:spacing w:val="8"/>
          <w:sz w:val="32"/>
          <w:szCs w:val="32"/>
        </w:rPr>
        <w:t>在县水利局11楼</w:t>
      </w:r>
      <w:r>
        <w:rPr>
          <w:rFonts w:hint="eastAsia" w:ascii="仿宋" w:hAnsi="仿宋" w:eastAsia="仿宋"/>
          <w:color w:val="000000"/>
          <w:sz w:val="32"/>
          <w:szCs w:val="32"/>
        </w:rPr>
        <w:t>会议室。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color w:val="000000"/>
          <w:sz w:val="32"/>
          <w:szCs w:val="32"/>
        </w:rPr>
      </w:pPr>
      <w:r>
        <w:rPr>
          <w:rFonts w:hint="eastAsia" w:ascii="楷体" w:hAnsi="楷体" w:eastAsia="楷体"/>
          <w:b/>
          <w:color w:val="000000"/>
          <w:sz w:val="32"/>
          <w:szCs w:val="32"/>
        </w:rPr>
        <w:t>二、参会人员</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 w:hAnsi="仿宋" w:eastAsia="仿宋"/>
          <w:color w:val="000000"/>
          <w:sz w:val="32"/>
          <w:szCs w:val="32"/>
        </w:rPr>
      </w:pPr>
      <w:r>
        <w:rPr>
          <w:rFonts w:hint="eastAsia" w:ascii="仿宋" w:hAnsi="仿宋" w:eastAsia="仿宋"/>
          <w:color w:val="000000"/>
          <w:spacing w:val="20"/>
          <w:sz w:val="32"/>
          <w:szCs w:val="32"/>
        </w:rPr>
        <w:t>县人大常委会组成人员，各乡镇人大主席</w:t>
      </w:r>
      <w:r>
        <w:rPr>
          <w:rFonts w:hint="eastAsia" w:ascii="仿宋" w:hAnsi="仿宋" w:eastAsia="仿宋"/>
          <w:color w:val="000000"/>
          <w:sz w:val="32"/>
          <w:szCs w:val="32"/>
        </w:rPr>
        <w:t>，经济开发区联系人大工作的党工委负责人，部分政府部门主要负责人（县司法局、公安局、住建局、城管执法局、数</w:t>
      </w:r>
      <w:r>
        <w:rPr>
          <w:rFonts w:hint="eastAsia" w:ascii="仿宋" w:hAnsi="仿宋" w:eastAsia="仿宋"/>
          <w:color w:val="000000"/>
          <w:sz w:val="32"/>
          <w:szCs w:val="32"/>
          <w:lang w:val="en-US" w:eastAsia="zh-CN"/>
        </w:rPr>
        <w:t>据</w:t>
      </w:r>
      <w:r>
        <w:rPr>
          <w:rFonts w:hint="eastAsia" w:ascii="仿宋" w:hAnsi="仿宋" w:eastAsia="仿宋"/>
          <w:color w:val="000000"/>
          <w:sz w:val="32"/>
          <w:szCs w:val="32"/>
        </w:rPr>
        <w:t>管</w:t>
      </w:r>
      <w:r>
        <w:rPr>
          <w:rFonts w:hint="eastAsia" w:ascii="仿宋" w:hAnsi="仿宋" w:eastAsia="仿宋"/>
          <w:color w:val="000000"/>
          <w:sz w:val="32"/>
          <w:szCs w:val="32"/>
          <w:lang w:val="en-US" w:eastAsia="zh-CN"/>
        </w:rPr>
        <w:t>理</w:t>
      </w:r>
      <w:r>
        <w:rPr>
          <w:rFonts w:hint="eastAsia" w:ascii="仿宋" w:hAnsi="仿宋" w:eastAsia="仿宋"/>
          <w:color w:val="000000"/>
          <w:sz w:val="32"/>
          <w:szCs w:val="32"/>
        </w:rPr>
        <w:t>局）；县人大办公室全体工作人员。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b/>
          <w:color w:val="000000"/>
          <w:sz w:val="32"/>
          <w:szCs w:val="32"/>
        </w:rPr>
      </w:pPr>
      <w:r>
        <w:rPr>
          <w:rFonts w:hint="eastAsia" w:ascii="楷体" w:hAnsi="楷体" w:eastAsia="楷体"/>
          <w:b/>
          <w:color w:val="000000"/>
          <w:sz w:val="32"/>
          <w:szCs w:val="32"/>
        </w:rPr>
        <w:t>三、讲座议程</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 w:hAnsi="仿宋" w:eastAsia="仿宋"/>
          <w:color w:val="000000"/>
          <w:sz w:val="32"/>
          <w:szCs w:val="32"/>
        </w:rPr>
      </w:pPr>
      <w:r>
        <w:rPr>
          <w:rFonts w:hint="eastAsia" w:ascii="仿宋" w:hAnsi="仿宋" w:eastAsia="仿宋"/>
          <w:color w:val="000000"/>
          <w:sz w:val="32"/>
          <w:szCs w:val="32"/>
        </w:rPr>
        <w:t>主持人：县人大常委会副主任   任 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1.邀请</w:t>
      </w:r>
      <w:r>
        <w:rPr>
          <w:rFonts w:hint="eastAsia" w:ascii="仿宋" w:hAnsi="仿宋" w:eastAsia="仿宋"/>
          <w:color w:val="000000"/>
          <w:sz w:val="32"/>
          <w:szCs w:val="32"/>
          <w:lang w:val="en-US" w:eastAsia="zh-CN"/>
        </w:rPr>
        <w:t>安徽省建设法制协会专家组组长仲亚平解读有关物业管理方面法律法规</w:t>
      </w:r>
      <w:r>
        <w:rPr>
          <w:rFonts w:hint="eastAsia" w:ascii="仿宋" w:hAnsi="仿宋" w:eastAsia="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2.邀请县</w:t>
      </w:r>
      <w:r>
        <w:rPr>
          <w:rFonts w:hint="eastAsia" w:ascii="仿宋" w:hAnsi="仿宋" w:eastAsia="仿宋"/>
          <w:color w:val="000000"/>
          <w:sz w:val="32"/>
          <w:szCs w:val="32"/>
          <w:lang w:val="en-US" w:eastAsia="zh-CN"/>
        </w:rPr>
        <w:t>数据管理局局长白素涛</w:t>
      </w:r>
      <w:r>
        <w:rPr>
          <w:rFonts w:hint="eastAsia" w:ascii="仿宋" w:hAnsi="仿宋" w:eastAsia="仿宋"/>
          <w:color w:val="000000"/>
          <w:sz w:val="32"/>
          <w:szCs w:val="32"/>
        </w:rPr>
        <w:t>讲解《</w:t>
      </w:r>
      <w:r>
        <w:rPr>
          <w:rFonts w:hint="eastAsia" w:ascii="仿宋" w:hAnsi="仿宋" w:eastAsia="仿宋"/>
          <w:color w:val="000000"/>
          <w:sz w:val="32"/>
          <w:szCs w:val="32"/>
          <w:lang w:val="en-US" w:eastAsia="zh-CN"/>
        </w:rPr>
        <w:t>数据安全</w:t>
      </w:r>
      <w:r>
        <w:rPr>
          <w:rFonts w:hint="eastAsia" w:ascii="仿宋" w:hAnsi="仿宋" w:eastAsia="仿宋"/>
          <w:color w:val="000000"/>
          <w:sz w:val="32"/>
          <w:szCs w:val="32"/>
        </w:rPr>
        <w:t>法》。</w:t>
      </w:r>
    </w:p>
    <w:p>
      <w:pPr>
        <w:ind w:firstLine="640" w:firstLineChars="200"/>
        <w:rPr>
          <w:rFonts w:hint="eastAsia" w:ascii="仿宋_GB2312"/>
          <w:color w:val="000000"/>
          <w:sz w:val="32"/>
          <w:szCs w:val="32"/>
        </w:rPr>
      </w:pPr>
      <w:r>
        <w:rPr>
          <w:rFonts w:hint="eastAsia" w:ascii="仿宋_GB2312"/>
          <w:color w:val="000000"/>
          <w:sz w:val="32"/>
          <w:szCs w:val="32"/>
        </w:rPr>
        <w:t xml:space="preserve"> </w:t>
      </w:r>
    </w:p>
    <w:p>
      <w:pPr>
        <w:spacing w:line="660" w:lineRule="exact"/>
        <w:ind w:firstLine="4640" w:firstLineChars="1450"/>
        <w:rPr>
          <w:rFonts w:hint="eastAsia" w:ascii="仿宋" w:hAnsi="仿宋" w:eastAsia="仿宋"/>
          <w:color w:val="000000"/>
          <w:sz w:val="32"/>
          <w:szCs w:val="32"/>
        </w:rPr>
      </w:pPr>
      <w:r>
        <w:rPr>
          <w:rFonts w:hint="eastAsia" w:ascii="仿宋" w:hAnsi="仿宋" w:eastAsia="仿宋"/>
          <w:color w:val="000000"/>
          <w:sz w:val="32"/>
          <w:szCs w:val="32"/>
        </w:rPr>
        <w:t>霍邱县人大常委会办公室</w:t>
      </w:r>
    </w:p>
    <w:p>
      <w:pPr>
        <w:spacing w:line="660" w:lineRule="exact"/>
        <w:ind w:firstLine="5280" w:firstLineChars="1650"/>
        <w:rPr>
          <w:rFonts w:hint="eastAsia"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2</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日</w:t>
      </w:r>
    </w:p>
    <w:p>
      <w:pPr>
        <w:bidi w:val="0"/>
        <w:rPr>
          <w:rFonts w:hint="eastAsia" w:ascii="Times New Roman" w:hAnsi="Times New Roman" w:eastAsia="仿宋_GB2312" w:cs="Times New Roman"/>
          <w:kern w:val="2"/>
          <w:sz w:val="21"/>
          <w:szCs w:val="21"/>
          <w:lang w:val="en-US" w:eastAsia="zh-CN" w:bidi="ar-SA"/>
        </w:rPr>
      </w:pPr>
    </w:p>
    <w:p>
      <w:pPr>
        <w:bidi w:val="0"/>
        <w:rPr>
          <w:rFonts w:hint="eastAsia"/>
          <w:lang w:val="en-US" w:eastAsia="zh-CN"/>
        </w:rPr>
      </w:pPr>
    </w:p>
    <w:p>
      <w:pPr>
        <w:bidi w:val="0"/>
        <w:rPr>
          <w:rFonts w:hint="eastAsia"/>
          <w:lang w:val="en-US" w:eastAsia="zh-CN"/>
        </w:rPr>
      </w:pPr>
    </w:p>
    <w:p>
      <w:pPr>
        <w:bidi w:val="0"/>
        <w:jc w:val="both"/>
        <w:rPr>
          <w:rFonts w:hint="eastAsia" w:ascii="楷体" w:hAnsi="楷体" w:eastAsia="楷体" w:cs="楷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民法典与物业管理</w:t>
      </w:r>
    </w:p>
    <w:p>
      <w:pPr>
        <w:bidi w:val="0"/>
        <w:ind w:firstLine="309" w:firstLineChars="0"/>
        <w:jc w:val="center"/>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仲亚平 省建设法制协会专家组组长</w:t>
      </w:r>
    </w:p>
    <w:p>
      <w:pPr>
        <w:numPr>
          <w:ilvl w:val="0"/>
          <w:numId w:val="0"/>
        </w:numPr>
        <w:bidi w:val="0"/>
        <w:ind w:firstLine="643" w:firstLineChars="200"/>
        <w:jc w:val="left"/>
        <w:rPr>
          <w:rFonts w:hint="eastAsia" w:ascii="仿宋" w:hAnsi="仿宋" w:eastAsia="仿宋"/>
          <w:b/>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一、物业管理管什么？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业主和他选定的物业服务企业，按照合同约定，对建筑物、构筑物及配套的设施设备和相关场地进行维修、养护、管理；以及维护物业管理区域内的环境卫生和相关秩序。</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管理的依据是什么？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1"/>
        <w:jc w:val="left"/>
        <w:textAlignment w:val="auto"/>
        <w:rPr>
          <w:rFonts w:hint="default" w:ascii="仿宋" w:hAnsi="仿宋" w:eastAsia="仿宋"/>
          <w:color w:val="000000"/>
          <w:sz w:val="32"/>
          <w:szCs w:val="32"/>
          <w:lang w:val="en-US" w:eastAsia="zh-CN"/>
        </w:rPr>
      </w:pPr>
      <w:r>
        <w:rPr>
          <w:rFonts w:hint="default" w:ascii="仿宋" w:hAnsi="仿宋" w:eastAsia="仿宋"/>
          <w:color w:val="000000"/>
          <w:sz w:val="32"/>
          <w:szCs w:val="32"/>
          <w:lang w:val="en-US" w:eastAsia="zh-CN"/>
        </w:rPr>
        <w:t>民法典、国家和省物业管理条例、规范性文件，以及部省市县（区）各级出台的相关政策、标准、规程、规范、管理办法、物业服务合同、管理规约等。</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3" w:firstLineChars="200"/>
        <w:jc w:val="left"/>
        <w:textAlignment w:val="auto"/>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主管部门的职责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县级人民政府城市管理、公安、价格、工商、环保、卫生、城乡规划、园林等部门，应当加强物业管理区域内公共秩序、治安消防、物业服务收费、环境卫生、房屋使用、小区绿化等方面的监督管理，建立违法行为投诉登记制度，并在物业管理区域内显著位置公布联系方式，依法处理物业管理区域内的违法行为；有关部门应当自收到投诉之日起十五日内进行调查、处理，并将调查或者处理结果答复投诉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643" w:firstLineChars="200"/>
        <w:jc w:val="left"/>
        <w:textAlignment w:val="auto"/>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民法典与物业管理的应用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仿宋" w:hAnsi="仿宋" w:eastAsia="仿宋"/>
          <w:color w:val="000000"/>
          <w:sz w:val="32"/>
          <w:szCs w:val="32"/>
          <w:lang w:val="en-US" w:eastAsia="zh-CN"/>
        </w:rPr>
      </w:pPr>
      <w:r>
        <w:rPr>
          <w:rFonts w:hint="default" w:ascii="仿宋" w:hAnsi="仿宋" w:eastAsia="仿宋"/>
          <w:color w:val="000000"/>
          <w:sz w:val="32"/>
          <w:szCs w:val="32"/>
          <w:lang w:val="en-US" w:eastAsia="zh-CN"/>
        </w:rPr>
        <w:t>第二编物权的第六章：业主的建筑物区分所有权；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仿宋" w:hAnsi="仿宋" w:eastAsia="仿宋"/>
          <w:color w:val="000000"/>
          <w:sz w:val="32"/>
          <w:szCs w:val="32"/>
          <w:lang w:val="en-US" w:eastAsia="zh-CN"/>
        </w:rPr>
      </w:pPr>
      <w:r>
        <w:rPr>
          <w:rFonts w:hint="default" w:ascii="仿宋" w:hAnsi="仿宋" w:eastAsia="仿宋"/>
          <w:color w:val="000000"/>
          <w:sz w:val="32"/>
          <w:szCs w:val="32"/>
          <w:lang w:val="en-US" w:eastAsia="zh-CN"/>
        </w:rPr>
        <w:t>第三编合同的第二十四章:  物业服务合同；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仿宋" w:hAnsi="仿宋" w:eastAsia="仿宋"/>
          <w:color w:val="000000"/>
          <w:sz w:val="32"/>
          <w:szCs w:val="32"/>
          <w:lang w:val="en-US" w:eastAsia="zh-CN"/>
        </w:rPr>
      </w:pPr>
      <w:r>
        <w:rPr>
          <w:rFonts w:hint="default" w:ascii="仿宋" w:hAnsi="仿宋" w:eastAsia="仿宋"/>
          <w:color w:val="000000"/>
          <w:sz w:val="32"/>
          <w:szCs w:val="32"/>
          <w:lang w:val="en-US" w:eastAsia="zh-CN"/>
        </w:rPr>
        <w:t>第七编侵权责任的第十章:  建筑物和物件损害责任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第二百七十一条　业主对建筑物内的住宅、经营性用房等专有部分享有所有权，对专有部分以外的共有部分享有共有和共同管理的权利。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第二百七十二条　业主对其建筑物专有部分享有占有、使用、收益和处分的权利。业主行使权利不得危及建筑物的安全，不得损害其他业主的合法权益。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第二百七十三条　业主对建筑物专有部分以外的共有部分，享有权利，承担义务；不得以放弃权利为由不履行义务。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lang w:val="en-US" w:eastAsia="zh-CN"/>
        </w:rPr>
      </w:pPr>
      <w:r>
        <w:rPr>
          <w:rFonts w:hint="default" w:ascii="仿宋" w:hAnsi="仿宋" w:eastAsia="仿宋"/>
          <w:color w:val="000000"/>
          <w:sz w:val="28"/>
          <w:szCs w:val="28"/>
          <w:lang w:val="en-US" w:eastAsia="zh-CN"/>
        </w:rPr>
        <w:t>业主转让建筑物内的住宅、经营性用房，其对共有部分享有的共有和共同管理的权利一并转让</w:t>
      </w:r>
      <w:r>
        <w:rPr>
          <w:rFonts w:hint="eastAsia" w:ascii="仿宋" w:hAnsi="仿宋" w:eastAsia="仿宋"/>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第二百七十五条　建筑区划内，规划用于停放汽车的车位、车库的归属，由当事人通过出售、附赠或者出租等方式约定。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用业主共有的道路或者其他场地用于停放汽车的车位，属于业主共有。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第二百七十六条　建筑区划内，规划用于停放汽车的车位、车库应当首先满足业主的需要。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第二百七十七条　业主可以设立业主大会，选举业主委员会。业主大会、业主委员会成立的具体条件和程序，依照法律、法规的规定。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jc w:val="left"/>
        <w:textAlignment w:val="auto"/>
        <w:rPr>
          <w:rFonts w:hint="eastAsia" w:ascii="仿宋" w:hAnsi="仿宋" w:eastAsia="仿宋"/>
          <w:color w:val="000000"/>
          <w:sz w:val="28"/>
          <w:szCs w:val="28"/>
          <w:lang w:val="en-US" w:eastAsia="zh-CN"/>
        </w:rPr>
      </w:pPr>
      <w:r>
        <w:rPr>
          <w:rFonts w:hint="default" w:ascii="仿宋" w:hAnsi="仿宋" w:eastAsia="仿宋"/>
          <w:color w:val="000000"/>
          <w:sz w:val="28"/>
          <w:szCs w:val="28"/>
          <w:lang w:val="en-US" w:eastAsia="zh-CN"/>
        </w:rPr>
        <w:t>地方人民政府有关部门、居民委员会应当对设立业主大会和选举业主委员会给予指导和协助</w:t>
      </w:r>
      <w:r>
        <w:rPr>
          <w:rFonts w:hint="eastAsia" w:ascii="仿宋" w:hAnsi="仿宋" w:eastAsia="仿宋"/>
          <w:color w:val="00000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第二百七十八条　下列事项由业主共同决定：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（一）制定和修改业主大会议事规则；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（二）制定和修改管理规约（删除了“建筑物及其附属设施”）；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（三）选举业主委员会或者更换业主委员会成员；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（四）选聘和解聘物业服务企业或者其他管理人；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（五）使用建筑物及其附属设施的维修资金（“筹集”单列了）；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（六）筹集建筑物及其附属设施的维修资金；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（七）改建、重建建筑物及其附属设施；</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（八）改变共有部分的用途或者利用共有部分从事经营活动（新增加）；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（九）有关共有和共同管理权利的其他重大事项。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第二百七十九条　业主不得违反法律、法规以及管理规约，将住宅改变为经营性用房。业主将住宅改变为经营性用房的，除遵守法律、法规以及管理规约外，应当经有利害关系的业主一致同意。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第二百八十条　业主大会或者业主委员会的决定，对业主具有法律约束力。</w:t>
      </w:r>
      <w:r>
        <w:rPr>
          <w:rFonts w:hint="eastAsia" w:ascii="仿宋" w:hAnsi="仿宋" w:eastAsia="仿宋"/>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业主大会或者业主委员会作出的决定侵害业主合法权益的，受侵害的业主可以请求人民法院予以撤销。</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第二百八十一条　维修资金，属于业主共有。经业主共同决定，可以用于电梯、屋顶、外墙、无障碍设施等共有部分的维修、更新和改造。建筑物及其附属设施的维修资金的筹集、使用情况应当定期公布。</w:t>
      </w:r>
      <w:r>
        <w:rPr>
          <w:rFonts w:hint="eastAsia" w:ascii="仿宋" w:hAnsi="仿宋" w:eastAsia="仿宋"/>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紧急情况下需要维修建筑物及其附属设施的，业主大会或者业主委员会可以依法申请使用建筑物及其附属设施的维修资金。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第二百八十二条　建设单位、物业服务企业或者其他管理人等利用业主的共有部分产生的收入，在扣除合理成本之后，属于业主共有。</w:t>
      </w:r>
      <w:r>
        <w:rPr>
          <w:rFonts w:hint="eastAsia" w:ascii="仿宋" w:hAnsi="仿宋" w:eastAsia="仿宋"/>
          <w:color w:val="000000"/>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第二百八十三条　建筑物及其附属设施的费用分摊、收益分配等事项，有约定的，按照约定；没有约定或者约定不明确的，按照业主专有部分面积所占比例确定。（原文是：占建筑物总面积的比例）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第二百八十四条　业主可以自行管理建筑物及其附属设施，也可以委托物业服务企业或者其他管理人管理。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对建设单位聘请的物业服务企业或者其他管理人，业主有权依法更换。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物业服务企业或者其他管理人应当执行政府依法实施的应急处置措施和其他管理措施，积极配合开展相关工作。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28"/>
          <w:szCs w:val="28"/>
          <w:lang w:val="en-US" w:eastAsia="zh-CN"/>
        </w:rPr>
      </w:pPr>
      <w:r>
        <w:rPr>
          <w:rFonts w:hint="default" w:ascii="仿宋" w:hAnsi="仿宋" w:eastAsia="仿宋"/>
          <w:color w:val="000000"/>
          <w:sz w:val="28"/>
          <w:szCs w:val="28"/>
          <w:lang w:val="en-US" w:eastAsia="zh-CN"/>
        </w:rPr>
        <w:t>业主或者其他行为人拒不履行相关义务的，有关当事人可以向有关行政主管部门报告或者投诉，有关行政主管部门应当依法处理。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仿宋" w:hAnsi="仿宋" w:eastAsia="仿宋"/>
          <w:color w:val="000000"/>
          <w:sz w:val="32"/>
          <w:szCs w:val="32"/>
          <w:lang w:val="en-US" w:eastAsia="zh-CN"/>
        </w:rPr>
      </w:pPr>
      <w:r>
        <w:rPr>
          <w:rFonts w:hint="default" w:ascii="仿宋" w:hAnsi="仿宋" w:eastAsia="仿宋"/>
          <w:color w:val="000000"/>
          <w:sz w:val="28"/>
          <w:szCs w:val="28"/>
          <w:lang w:val="en-US" w:eastAsia="zh-CN"/>
        </w:rPr>
        <w:t>第二百八十七条　业主对建设单位、物业服务企业或者其他管理人以及其他业主侵害自己合法权益的行为，有权请求其承担民事责任。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仿宋" w:hAnsi="仿宋" w:eastAsia="仿宋"/>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《数据安全法》解读提纲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白素涛  县数据管理局局长</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b/>
          <w:bCs/>
          <w:color w:val="000000"/>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一、《数据安全法》立法背景</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中共中央政治局12月8号下午就实施国家大数据战略进行第二次集体学习。中共中央总书记习近平在主持学习时强调，······推动实施国家大数据战略，加快完善数字基础设施，推进数据资源整合和开放共享，保障数据安全，加快建设数字中国，更好服务我国经济社会发展和人民生活改善。</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二、《数据安全法》立法思路和制度框架</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640" w:leftChars="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1.总体安全观：</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640" w:leftChars="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93年《国家安全法》：传统安全：国家、人民、国防等</w:t>
      </w:r>
    </w:p>
    <w:p>
      <w:pPr>
        <w:keepNext w:val="0"/>
        <w:keepLines w:val="0"/>
        <w:pageBreakBefore w:val="0"/>
        <w:widowControl w:val="0"/>
        <w:numPr>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非传统安全：网络、数据、生物安全</w:t>
      </w:r>
    </w:p>
    <w:p>
      <w:pPr>
        <w:keepNext w:val="0"/>
        <w:keepLines w:val="0"/>
        <w:pageBreakBefore w:val="0"/>
        <w:widowControl w:val="0"/>
        <w:numPr>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《数据安全法》是中国数据安全领域的一部基础性法律，也是总体安全观的重要方面和环节</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640" w:firstLineChars="200"/>
        <w:jc w:val="left"/>
        <w:textAlignment w:val="auto"/>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2.主管部门职责与权限</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640"/>
        <w:jc w:val="left"/>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中央国家安全领导机构：决策、制定重大方针政策；各地区、各部门对本地区、本部门负责工业、电信、交通、金融等主管部门对本行业、本领域的数据安全监管负责；公安机关、国家安全机关：数据安全监管职责；执法部门和国家网信部门：统筹协调网络数据安全和相关监管工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三、《数据安全法》条文</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i w:val="0"/>
          <w:iCs w:val="0"/>
          <w:caps w:val="0"/>
          <w:color w:val="333333"/>
          <w:spacing w:val="0"/>
          <w:sz w:val="28"/>
          <w:szCs w:val="28"/>
        </w:rPr>
      </w:pPr>
      <w:r>
        <w:rPr>
          <w:rFonts w:hint="eastAsia" w:ascii="仿宋" w:hAnsi="仿宋" w:eastAsia="仿宋"/>
          <w:color w:val="000000"/>
          <w:sz w:val="32"/>
          <w:szCs w:val="32"/>
          <w:lang w:val="en-US" w:eastAsia="zh-CN"/>
        </w:rPr>
        <w:t xml:space="preserve">   </w:t>
      </w:r>
      <w:r>
        <w:rPr>
          <w:rFonts w:hint="eastAsia" w:ascii="仿宋" w:hAnsi="仿宋" w:eastAsia="仿宋" w:cs="仿宋"/>
          <w:b/>
          <w:bCs/>
          <w:i w:val="0"/>
          <w:iCs w:val="0"/>
          <w:caps w:val="0"/>
          <w:color w:val="333333"/>
          <w:spacing w:val="0"/>
          <w:sz w:val="28"/>
          <w:szCs w:val="28"/>
          <w:bdr w:val="none" w:color="auto" w:sz="0" w:space="0"/>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为了规范数据处理活动，保障数据安全，促进数据开发利用，保护个人、组织的合法权益，维护国家主权、安全和发展利益，制定本法。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在中华人民共和国境内开展数据处理活动及其安全监管，适用本法。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在中华人民共和国境外开展数据处理活动，损害中华人民共和国国家安全、公共利益或者公民、组织合法权益的，依法追究法律责任。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本法所称数据，是指任何以电子或者其他方式对信息的记录。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数据处理，包括数据的收集、存储、使用、加工、传输、提供、公开等。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数据安全，是指通过采取必要措施，确保数据处于有效保护和合法利用的状态，以及具备保障持续安全状态的能力。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维护数据安全，应当坚持总体国家安全观，建立健全数据安全治理体系，提高数据安全保障能力。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中央国家安全领导机构负责国家数据安全工作的决策和议事协调，研究制定、指导实施国家数据安全战略和有关重大方针政策，统筹协调国家数据安全的重大事项和重要工作，建立国家数据安全工作协调机制。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各地区、各部门对本地区、本部门工作中收集和产生的数据及数据安全负责。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工业、电信、交通、金融、自然资源、卫生健康、教育、科技等主管部门承担本行业、本领域数据安全监管职责。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公安机关、国家安全机关等依照本法和有关法律、行政法规的规定，在各自职责范围内承担数据安全监管职责。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国家网信部门依照本法和有关法律、行政法规的规定，负责统筹协调网络数据安全和相关监管工作。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国家保护个人、组织与数据有关的权益，鼓励数据依法合理有效利用，保障数据依法有序自由流动，促进以数据为关键要素的数字经济发展。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开展数据处理活动，应当遵守法律、法规，尊重社会公德和伦理，遵守商业道德和职业道德，诚实守信，履行数据安全保护义务，承担社会责任，不得危害国家安全、公共利益，不得损害个人、组织的合法权益。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国家支持开展数据安全知识宣传普及，提高全社会的数据安全保护意识和水平，推动有关部门、行业组织、科研机构、企业、个人等共同参与数据安全保护工作，形成全社会共同维护数据安全和促进发展的良好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第十条 </w:t>
      </w:r>
      <w:r>
        <w:rPr>
          <w:rFonts w:hint="eastAsia" w:ascii="仿宋" w:hAnsi="仿宋" w:eastAsia="仿宋" w:cs="仿宋"/>
          <w:i w:val="0"/>
          <w:iCs w:val="0"/>
          <w:caps w:val="0"/>
          <w:color w:val="333333"/>
          <w:spacing w:val="0"/>
          <w:sz w:val="28"/>
          <w:szCs w:val="28"/>
          <w:bdr w:val="none" w:color="auto" w:sz="0" w:space="0"/>
          <w:shd w:val="clear" w:fill="FFFFFF"/>
        </w:rPr>
        <w:t>相关行业组织按照章程，依法制定数据安全行为规范和团体标准，加强行业自律，指导会员加强数据安全保护，提高数据安全保护水平，促进行业健康发展。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国家积极开展数据安全治理、数据开发利用等领域的国际交流与合作，参与数据安全相关国际规则和标准的制定，促进数据跨境安全、自由流动。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任何个人、组织都有权对违反本法规定的行为向有关主管部门投诉、举报。收到投诉、举报的部门应当及时依法处理。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有关主管部门应当对投诉、举报人的相关信息予以保密，保护投诉、举报人的合法权益。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第二章 数据安全与发展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国家统筹发展和安全，坚持以数据开发利用和产业发展促进数据安全，以数据安全保障数据开发利用和产业发展。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国家实施大数据战略，推进数据基础设施建设，鼓励和支持数据在各行业、各领域的创新应用。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省级以上人民政府应当将数字经济发展纳入本级国民经济和社会发展规划，并根据需要制定数字经济发展规划。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国家支持开发利用数据提升公共服务的智能化水平。提供智能化公共服务，应当充分考虑老年人、残疾人的需求，避免对老年人、残疾人的日常生活造成障碍。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国家支持数据开发利用和数据安全技术研究，鼓励数据开发利用和数据安全等领域的技术推广和商业创新，培育、发展数据开发利用和数据安全产品、产业体系。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第十七条 </w:t>
      </w:r>
      <w:r>
        <w:rPr>
          <w:rFonts w:hint="eastAsia" w:ascii="仿宋" w:hAnsi="仿宋" w:eastAsia="仿宋" w:cs="仿宋"/>
          <w:i w:val="0"/>
          <w:iCs w:val="0"/>
          <w:caps w:val="0"/>
          <w:color w:val="333333"/>
          <w:spacing w:val="0"/>
          <w:sz w:val="28"/>
          <w:szCs w:val="28"/>
          <w:bdr w:val="none" w:color="auto" w:sz="0" w:space="0"/>
          <w:shd w:val="clear" w:fill="FFFFFF"/>
        </w:rPr>
        <w:t>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国家促进数据安全检测评估、认证等服务的发展，支持数据安全检测评估、认证等专业机构依法开展服务活动。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国家支持有关部门、行业组织、企业、教育和科研机构、有关专业机构等在数据安全风险评估、防范、处置等方面开展协作。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国家建立健全数据交易管理制度，规范数据交易行为，培育数据交易市场。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国家支持教育、科研机构和企业等开展数据开发利用技术和数据安全相关教育和培训，采取多种方式培养数据开发利用技术和数据安全专业人才，促进人才交流。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第三章 数据安全制度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第二十一条</w:t>
      </w:r>
      <w:r>
        <w:rPr>
          <w:rFonts w:hint="eastAsia" w:ascii="仿宋" w:hAnsi="仿宋" w:eastAsia="仿宋" w:cs="仿宋"/>
          <w:i w:val="0"/>
          <w:iCs w:val="0"/>
          <w:caps w:val="0"/>
          <w:color w:val="333333"/>
          <w:spacing w:val="0"/>
          <w:sz w:val="28"/>
          <w:szCs w:val="28"/>
          <w:bdr w:val="none" w:color="auto" w:sz="0" w:space="0"/>
          <w:shd w:val="clear" w:fill="FFFFFF"/>
        </w:rPr>
        <w:t>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关系国家安全、国民经济命脉、重要民生、重大公共利益等数据属于国家核心数据，实行更加严格的管理制度。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各地区、各部门应当按照数据分类分级保护制度，确定本地区、本部门以及相关行业、领域的重要数据具体目录，对列入目录的数据进行重点保护。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国家建立集中统一、高效权威的数据安全风险评估、报告、信息共享、监测预警机制。国家数据安全工作协调机制统筹协调有关部门加强数据安全风险信息的获取、分析、研判、预警工作。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第二十三条</w:t>
      </w:r>
      <w:r>
        <w:rPr>
          <w:rFonts w:hint="eastAsia" w:ascii="仿宋" w:hAnsi="仿宋" w:eastAsia="仿宋" w:cs="仿宋"/>
          <w:i w:val="0"/>
          <w:iCs w:val="0"/>
          <w:caps w:val="0"/>
          <w:color w:val="333333"/>
          <w:spacing w:val="0"/>
          <w:sz w:val="28"/>
          <w:szCs w:val="28"/>
          <w:bdr w:val="none" w:color="auto" w:sz="0" w:space="0"/>
          <w:shd w:val="clear" w:fill="FFFFFF"/>
        </w:rPr>
        <w:t>国家建立数据安全应急处置机制。发生数据安全事件，有关主管部门应当依法启动应急预案，采取相应的应急处置措施，防止危害扩大，消除安全隐患，并及时向社会发布与公众有关的警示信息。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国家建立数据安全审查制度，对影响或者可能影响国家安全的数据处理活动进行国家安全审查。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依法作出的安全审查决定为最终决定。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第二十五条</w:t>
      </w:r>
      <w:r>
        <w:rPr>
          <w:rFonts w:hint="eastAsia" w:ascii="仿宋" w:hAnsi="仿宋" w:eastAsia="仿宋" w:cs="仿宋"/>
          <w:i w:val="0"/>
          <w:iCs w:val="0"/>
          <w:caps w:val="0"/>
          <w:color w:val="333333"/>
          <w:spacing w:val="0"/>
          <w:sz w:val="28"/>
          <w:szCs w:val="28"/>
          <w:bdr w:val="none" w:color="auto" w:sz="0" w:space="0"/>
          <w:shd w:val="clear" w:fill="FFFFFF"/>
        </w:rPr>
        <w:t>国家对与维护国家安全和利益、履行国际义务相关的属于管制物项的数据依法实施出口管制。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任何国家或者地区在与数据和数据开发利用技术等有关的投资、贸易等方面对中华人民共和国采取歧视性的禁止、限制或者其他类似措施的，中华人民共和国可以根据实际情况对该国家或者地区对等采取措施。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第四章 数据安全保护义务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第二十七条</w:t>
      </w:r>
      <w:r>
        <w:rPr>
          <w:rFonts w:hint="eastAsia" w:ascii="仿宋" w:hAnsi="仿宋" w:eastAsia="仿宋" w:cs="仿宋"/>
          <w:i w:val="0"/>
          <w:iCs w:val="0"/>
          <w:caps w:val="0"/>
          <w:color w:val="333333"/>
          <w:spacing w:val="0"/>
          <w:sz w:val="28"/>
          <w:szCs w:val="28"/>
          <w:bdr w:val="none" w:color="auto" w:sz="0" w:space="0"/>
          <w:shd w:val="clear" w:fill="FFFFFF"/>
        </w:rPr>
        <w:t>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重要数据的处理者应当明确数据安全负责人和管理机构，落实数据安全保护责任。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第二十八条</w:t>
      </w:r>
      <w:r>
        <w:rPr>
          <w:rFonts w:hint="eastAsia" w:ascii="仿宋" w:hAnsi="仿宋" w:eastAsia="仿宋" w:cs="仿宋"/>
          <w:i w:val="0"/>
          <w:iCs w:val="0"/>
          <w:caps w:val="0"/>
          <w:color w:val="333333"/>
          <w:spacing w:val="0"/>
          <w:sz w:val="28"/>
          <w:szCs w:val="28"/>
          <w:bdr w:val="none" w:color="auto" w:sz="0" w:space="0"/>
          <w:shd w:val="clear" w:fill="FFFFFF"/>
        </w:rPr>
        <w:t>开展数据处理活动以及研究开发数据新技术，应当有利于促进经济社会发展，增进人民福祉，符合社会公德和伦理。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第二十九条</w:t>
      </w:r>
      <w:r>
        <w:rPr>
          <w:rFonts w:hint="eastAsia" w:ascii="仿宋" w:hAnsi="仿宋" w:eastAsia="仿宋" w:cs="仿宋"/>
          <w:i w:val="0"/>
          <w:iCs w:val="0"/>
          <w:caps w:val="0"/>
          <w:color w:val="333333"/>
          <w:spacing w:val="0"/>
          <w:sz w:val="28"/>
          <w:szCs w:val="28"/>
          <w:bdr w:val="none" w:color="auto" w:sz="0" w:space="0"/>
          <w:shd w:val="clear" w:fill="FFFFFF"/>
        </w:rPr>
        <w:t>开展数据处理活动应当加强风险监测，发现数据安全缺陷、漏洞等风险时，应当立即采取补救措施；发生数据安全事件时，应当立即采取处置措施，按照规定及时告知用户并向有关主管部门报告。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第三十条</w:t>
      </w:r>
      <w:r>
        <w:rPr>
          <w:rFonts w:hint="eastAsia" w:ascii="仿宋" w:hAnsi="仿宋" w:eastAsia="仿宋" w:cs="仿宋"/>
          <w:i w:val="0"/>
          <w:iCs w:val="0"/>
          <w:caps w:val="0"/>
          <w:color w:val="333333"/>
          <w:spacing w:val="0"/>
          <w:sz w:val="28"/>
          <w:szCs w:val="28"/>
          <w:bdr w:val="none" w:color="auto" w:sz="0" w:space="0"/>
          <w:shd w:val="clear" w:fill="FFFFFF"/>
        </w:rPr>
        <w:t>重要数据的处理者应当按照规定对其数据处理活动定期开展风险评估，并向有关主管部门报送风险评估报告。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风险评估报告应当包括处理的重要数据的种类、数量，开展数据处理活动的情况，面临的数据安全风险及其应对措施等。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第三十一条</w:t>
      </w:r>
      <w:r>
        <w:rPr>
          <w:rFonts w:hint="eastAsia" w:ascii="仿宋" w:hAnsi="仿宋" w:eastAsia="仿宋" w:cs="仿宋"/>
          <w:i w:val="0"/>
          <w:iCs w:val="0"/>
          <w:caps w:val="0"/>
          <w:color w:val="333333"/>
          <w:spacing w:val="0"/>
          <w:sz w:val="28"/>
          <w:szCs w:val="28"/>
          <w:bdr w:val="none" w:color="auto" w:sz="0" w:space="0"/>
          <w:shd w:val="clear" w:fill="FFFFFF"/>
        </w:rPr>
        <w:t>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第三十二条</w:t>
      </w:r>
      <w:r>
        <w:rPr>
          <w:rFonts w:hint="eastAsia" w:ascii="仿宋" w:hAnsi="仿宋" w:eastAsia="仿宋" w:cs="仿宋"/>
          <w:i w:val="0"/>
          <w:iCs w:val="0"/>
          <w:caps w:val="0"/>
          <w:color w:val="333333"/>
          <w:spacing w:val="0"/>
          <w:sz w:val="28"/>
          <w:szCs w:val="28"/>
          <w:bdr w:val="none" w:color="auto" w:sz="0" w:space="0"/>
          <w:shd w:val="clear" w:fill="FFFFFF"/>
        </w:rPr>
        <w:t>任何组织、个人收集数据，应当采取合法、正当的方式，不得窃取或者以其他非法方式获取数据。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法律、行政法规对收集、使用数据的目的、范围有规定的，应当在法律、行政法规规定的目的和范围内收集、使用数据。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第三十三条</w:t>
      </w:r>
      <w:r>
        <w:rPr>
          <w:rFonts w:hint="eastAsia" w:ascii="仿宋" w:hAnsi="仿宋" w:eastAsia="仿宋" w:cs="仿宋"/>
          <w:i w:val="0"/>
          <w:iCs w:val="0"/>
          <w:caps w:val="0"/>
          <w:color w:val="333333"/>
          <w:spacing w:val="0"/>
          <w:sz w:val="28"/>
          <w:szCs w:val="28"/>
          <w:bdr w:val="none" w:color="auto" w:sz="0" w:space="0"/>
          <w:shd w:val="clear" w:fill="FFFFFF"/>
        </w:rPr>
        <w:t>从事数据交易中介服务的机构提供服务，应当要求数据提供方说明数据来源，审核交易双方的身份，并留存审核、交易记录。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第三十四条 </w:t>
      </w:r>
      <w:r>
        <w:rPr>
          <w:rFonts w:hint="eastAsia" w:ascii="仿宋" w:hAnsi="仿宋" w:eastAsia="仿宋" w:cs="仿宋"/>
          <w:i w:val="0"/>
          <w:iCs w:val="0"/>
          <w:caps w:val="0"/>
          <w:color w:val="333333"/>
          <w:spacing w:val="0"/>
          <w:sz w:val="28"/>
          <w:szCs w:val="28"/>
          <w:bdr w:val="none" w:color="auto" w:sz="0" w:space="0"/>
          <w:shd w:val="clear" w:fill="FFFFFF"/>
        </w:rPr>
        <w:t>法律、行政法规规定提供数据处理相关服务应当取得行政许可的，服务提供者应当依法取得许可。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第三十五条</w:t>
      </w:r>
      <w:r>
        <w:rPr>
          <w:rFonts w:hint="eastAsia" w:ascii="仿宋" w:hAnsi="仿宋" w:eastAsia="仿宋" w:cs="仿宋"/>
          <w:i w:val="0"/>
          <w:iCs w:val="0"/>
          <w:caps w:val="0"/>
          <w:color w:val="333333"/>
          <w:spacing w:val="0"/>
          <w:sz w:val="28"/>
          <w:szCs w:val="28"/>
          <w:bdr w:val="none" w:color="auto" w:sz="0" w:space="0"/>
          <w:shd w:val="clear" w:fill="FFFFFF"/>
        </w:rPr>
        <w:t>公安机关、国家安全机关因依法维护国家安全或者侦查犯罪的需要调取数据，应当按照国家有关规定，经过严格的批准手续，依法进行，有关组织、个人应当予以配合。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第三十六条 </w:t>
      </w:r>
      <w:r>
        <w:rPr>
          <w:rFonts w:hint="eastAsia" w:ascii="仿宋" w:hAnsi="仿宋" w:eastAsia="仿宋" w:cs="仿宋"/>
          <w:i w:val="0"/>
          <w:iCs w:val="0"/>
          <w:caps w:val="0"/>
          <w:color w:val="333333"/>
          <w:spacing w:val="0"/>
          <w:sz w:val="28"/>
          <w:szCs w:val="28"/>
          <w:bdr w:val="none" w:color="auto" w:sz="0" w:space="0"/>
          <w:shd w:val="clear" w:fill="FFFFFF"/>
        </w:rPr>
        <w:t>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第五章 政务数据安全与开放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第三十七条</w:t>
      </w:r>
      <w:r>
        <w:rPr>
          <w:rFonts w:hint="eastAsia" w:ascii="仿宋" w:hAnsi="仿宋" w:eastAsia="仿宋" w:cs="仿宋"/>
          <w:i w:val="0"/>
          <w:iCs w:val="0"/>
          <w:caps w:val="0"/>
          <w:color w:val="333333"/>
          <w:spacing w:val="0"/>
          <w:sz w:val="28"/>
          <w:szCs w:val="28"/>
          <w:bdr w:val="none" w:color="auto" w:sz="0" w:space="0"/>
          <w:shd w:val="clear" w:fill="FFFFFF"/>
        </w:rPr>
        <w:t>国家大力推进电子政务建设，提高政务数据的科学性、准确性、时效性，提升运用数据服务经济社会发展的能力。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第三十八条</w:t>
      </w:r>
      <w:r>
        <w:rPr>
          <w:rFonts w:hint="eastAsia" w:ascii="仿宋" w:hAnsi="仿宋" w:eastAsia="仿宋" w:cs="仿宋"/>
          <w:i w:val="0"/>
          <w:iCs w:val="0"/>
          <w:caps w:val="0"/>
          <w:color w:val="333333"/>
          <w:spacing w:val="0"/>
          <w:sz w:val="28"/>
          <w:szCs w:val="28"/>
          <w:bdr w:val="none" w:color="auto" w:sz="0" w:space="0"/>
          <w:shd w:val="clear" w:fill="FFFFFF"/>
        </w:rPr>
        <w:t>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第三十九条 </w:t>
      </w:r>
      <w:r>
        <w:rPr>
          <w:rFonts w:hint="eastAsia" w:ascii="仿宋" w:hAnsi="仿宋" w:eastAsia="仿宋" w:cs="仿宋"/>
          <w:i w:val="0"/>
          <w:iCs w:val="0"/>
          <w:caps w:val="0"/>
          <w:color w:val="333333"/>
          <w:spacing w:val="0"/>
          <w:sz w:val="28"/>
          <w:szCs w:val="28"/>
          <w:bdr w:val="none" w:color="auto" w:sz="0" w:space="0"/>
          <w:shd w:val="clear" w:fill="FFFFFF"/>
        </w:rPr>
        <w:t>国家机关应当依照法律、行政法规的规定，建立健全数据安全管理制度，落实数据安全保护责任，保障政务数据安全。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第四十条 </w:t>
      </w:r>
      <w:r>
        <w:rPr>
          <w:rFonts w:hint="eastAsia" w:ascii="仿宋" w:hAnsi="仿宋" w:eastAsia="仿宋" w:cs="仿宋"/>
          <w:i w:val="0"/>
          <w:iCs w:val="0"/>
          <w:caps w:val="0"/>
          <w:color w:val="333333"/>
          <w:spacing w:val="0"/>
          <w:sz w:val="28"/>
          <w:szCs w:val="28"/>
          <w:bdr w:val="none" w:color="auto" w:sz="0" w:space="0"/>
          <w:shd w:val="clear" w:fill="FFFFFF"/>
        </w:rPr>
        <w:t>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第四十一条</w:t>
      </w:r>
      <w:r>
        <w:rPr>
          <w:rFonts w:hint="eastAsia" w:ascii="仿宋" w:hAnsi="仿宋" w:eastAsia="仿宋" w:cs="仿宋"/>
          <w:i w:val="0"/>
          <w:iCs w:val="0"/>
          <w:caps w:val="0"/>
          <w:color w:val="333333"/>
          <w:spacing w:val="0"/>
          <w:sz w:val="28"/>
          <w:szCs w:val="28"/>
          <w:bdr w:val="none" w:color="auto" w:sz="0" w:space="0"/>
          <w:shd w:val="clear" w:fill="FFFFFF"/>
        </w:rPr>
        <w:t>国家机关应当遵循公正、公平、便民的原则，按照规定及时、准确地公开政务数据。依法不予公开的除外。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第四十二条 </w:t>
      </w:r>
      <w:r>
        <w:rPr>
          <w:rFonts w:hint="eastAsia" w:ascii="仿宋" w:hAnsi="仿宋" w:eastAsia="仿宋" w:cs="仿宋"/>
          <w:i w:val="0"/>
          <w:iCs w:val="0"/>
          <w:caps w:val="0"/>
          <w:color w:val="333333"/>
          <w:spacing w:val="0"/>
          <w:sz w:val="28"/>
          <w:szCs w:val="28"/>
          <w:bdr w:val="none" w:color="auto" w:sz="0" w:space="0"/>
          <w:shd w:val="clear" w:fill="FFFFFF"/>
        </w:rPr>
        <w:t>国家制定政务数据开放目录，构建统一规范、互联互通、安全可控的政务数据开放平台，推动政务数据开放利用。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第四十三条</w:t>
      </w:r>
      <w:r>
        <w:rPr>
          <w:rFonts w:hint="eastAsia" w:ascii="仿宋" w:hAnsi="仿宋" w:eastAsia="仿宋" w:cs="仿宋"/>
          <w:i w:val="0"/>
          <w:iCs w:val="0"/>
          <w:caps w:val="0"/>
          <w:color w:val="333333"/>
          <w:spacing w:val="0"/>
          <w:sz w:val="28"/>
          <w:szCs w:val="28"/>
          <w:bdr w:val="none" w:color="auto" w:sz="0" w:space="0"/>
          <w:shd w:val="clear" w:fill="FFFFFF"/>
        </w:rPr>
        <w:t>法律、法规授权的具有管理公共事务职能的组织为履行法定职责开展数据处理活动，适用本章规定。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第六章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第四十四条</w:t>
      </w:r>
      <w:r>
        <w:rPr>
          <w:rFonts w:hint="eastAsia" w:ascii="仿宋" w:hAnsi="仿宋" w:eastAsia="仿宋" w:cs="仿宋"/>
          <w:i w:val="0"/>
          <w:iCs w:val="0"/>
          <w:caps w:val="0"/>
          <w:color w:val="333333"/>
          <w:spacing w:val="0"/>
          <w:sz w:val="28"/>
          <w:szCs w:val="28"/>
          <w:bdr w:val="none" w:color="auto" w:sz="0" w:space="0"/>
          <w:shd w:val="clear" w:fill="FFFFFF"/>
        </w:rPr>
        <w:t>有关主管部门在履行数据安全监管职责中，发现数据处理活动存在较大安全风险的，可以按照规定的权限和程序对有关组织、个人进行约谈，并要求有关组织、个人采取措施进行整改，消除隐患。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第四十五条 </w:t>
      </w:r>
      <w:r>
        <w:rPr>
          <w:rFonts w:hint="eastAsia" w:ascii="仿宋" w:hAnsi="仿宋" w:eastAsia="仿宋" w:cs="仿宋"/>
          <w:i w:val="0"/>
          <w:iCs w:val="0"/>
          <w:caps w:val="0"/>
          <w:color w:val="333333"/>
          <w:spacing w:val="0"/>
          <w:sz w:val="28"/>
          <w:szCs w:val="28"/>
          <w:bdr w:val="none" w:color="auto" w:sz="0" w:space="0"/>
          <w:shd w:val="clear" w:fill="FFFFFF"/>
        </w:rPr>
        <w:t>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第四十六条</w:t>
      </w:r>
      <w:r>
        <w:rPr>
          <w:rFonts w:hint="eastAsia" w:ascii="仿宋" w:hAnsi="仿宋" w:eastAsia="仿宋" w:cs="仿宋"/>
          <w:i w:val="0"/>
          <w:iCs w:val="0"/>
          <w:caps w:val="0"/>
          <w:color w:val="333333"/>
          <w:spacing w:val="0"/>
          <w:sz w:val="28"/>
          <w:szCs w:val="28"/>
          <w:bdr w:val="none" w:color="auto" w:sz="0" w:space="0"/>
          <w:shd w:val="clear" w:fill="FFFFFF"/>
        </w:rPr>
        <w:t>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第四十七条 </w:t>
      </w:r>
      <w:r>
        <w:rPr>
          <w:rFonts w:hint="eastAsia" w:ascii="仿宋" w:hAnsi="仿宋" w:eastAsia="仿宋" w:cs="仿宋"/>
          <w:i w:val="0"/>
          <w:iCs w:val="0"/>
          <w:caps w:val="0"/>
          <w:color w:val="333333"/>
          <w:spacing w:val="0"/>
          <w:sz w:val="28"/>
          <w:szCs w:val="28"/>
          <w:bdr w:val="none" w:color="auto" w:sz="0" w:space="0"/>
          <w:shd w:val="clear" w:fill="FFFFFF"/>
        </w:rPr>
        <w:t>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第四十八条 </w:t>
      </w:r>
      <w:r>
        <w:rPr>
          <w:rFonts w:hint="eastAsia" w:ascii="仿宋" w:hAnsi="仿宋" w:eastAsia="仿宋" w:cs="仿宋"/>
          <w:i w:val="0"/>
          <w:iCs w:val="0"/>
          <w:caps w:val="0"/>
          <w:color w:val="333333"/>
          <w:spacing w:val="0"/>
          <w:sz w:val="28"/>
          <w:szCs w:val="28"/>
          <w:bdr w:val="none" w:color="auto" w:sz="0" w:space="0"/>
          <w:shd w:val="clear" w:fill="FFFFFF"/>
        </w:rPr>
        <w:t>违反本法第三十五条规定，拒不配合数据调取的，由有关主管部门责令改正，给予警告，并处五万元以上五十万元以下罚款，对直接负责的主管人员和其他直接责任人员处一万元以上十万元以下罚款。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第四十九条</w:t>
      </w:r>
      <w:r>
        <w:rPr>
          <w:rFonts w:hint="eastAsia" w:ascii="仿宋" w:hAnsi="仿宋" w:eastAsia="仿宋" w:cs="仿宋"/>
          <w:i w:val="0"/>
          <w:iCs w:val="0"/>
          <w:caps w:val="0"/>
          <w:color w:val="333333"/>
          <w:spacing w:val="0"/>
          <w:sz w:val="28"/>
          <w:szCs w:val="28"/>
          <w:bdr w:val="none" w:color="auto" w:sz="0" w:space="0"/>
          <w:shd w:val="clear" w:fill="FFFFFF"/>
        </w:rPr>
        <w:t>国家机关不履行本法规定的数据安全保护义务的，对直接负责的主管人员和其他直接责任人员依法给予处分。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第五十条</w:t>
      </w:r>
      <w:r>
        <w:rPr>
          <w:rFonts w:hint="eastAsia" w:ascii="仿宋" w:hAnsi="仿宋" w:eastAsia="仿宋" w:cs="仿宋"/>
          <w:i w:val="0"/>
          <w:iCs w:val="0"/>
          <w:caps w:val="0"/>
          <w:color w:val="333333"/>
          <w:spacing w:val="0"/>
          <w:sz w:val="28"/>
          <w:szCs w:val="28"/>
          <w:bdr w:val="none" w:color="auto" w:sz="0" w:space="0"/>
          <w:shd w:val="clear" w:fill="FFFFFF"/>
        </w:rPr>
        <w:t>履行数据安全监管职责的国家工作人员玩忽职守、滥用职权、徇私舞弊的，依法给予处分。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第五十一条</w:t>
      </w:r>
      <w:r>
        <w:rPr>
          <w:rFonts w:hint="eastAsia" w:ascii="仿宋" w:hAnsi="仿宋" w:eastAsia="仿宋" w:cs="仿宋"/>
          <w:i w:val="0"/>
          <w:iCs w:val="0"/>
          <w:caps w:val="0"/>
          <w:color w:val="333333"/>
          <w:spacing w:val="0"/>
          <w:sz w:val="28"/>
          <w:szCs w:val="28"/>
          <w:bdr w:val="none" w:color="auto" w:sz="0" w:space="0"/>
          <w:shd w:val="clear" w:fill="FFFFFF"/>
        </w:rPr>
        <w:t>窃取或者以其他非法方式获取数据，开展数据处理活动排除、限制竞争，或者损害个人、组织合法权益的，依照有关法律、行政法规的规定处罚。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第五十二条</w:t>
      </w:r>
      <w:r>
        <w:rPr>
          <w:rFonts w:hint="eastAsia" w:ascii="仿宋" w:hAnsi="仿宋" w:eastAsia="仿宋" w:cs="仿宋"/>
          <w:i w:val="0"/>
          <w:iCs w:val="0"/>
          <w:caps w:val="0"/>
          <w:color w:val="333333"/>
          <w:spacing w:val="0"/>
          <w:sz w:val="28"/>
          <w:szCs w:val="28"/>
          <w:bdr w:val="none" w:color="auto" w:sz="0" w:space="0"/>
          <w:shd w:val="clear" w:fill="FFFFFF"/>
        </w:rPr>
        <w:t>违反本法规定，给他人造成损害的，依法承担民事责任。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违反本法规定，构成违反治安管理行为的，依法给予治安管理处罚；构成犯罪的，依法追究刑事责任。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第七章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第五十三条</w:t>
      </w:r>
      <w:r>
        <w:rPr>
          <w:rFonts w:hint="eastAsia" w:ascii="仿宋" w:hAnsi="仿宋" w:eastAsia="仿宋" w:cs="仿宋"/>
          <w:i w:val="0"/>
          <w:iCs w:val="0"/>
          <w:caps w:val="0"/>
          <w:color w:val="333333"/>
          <w:spacing w:val="0"/>
          <w:sz w:val="28"/>
          <w:szCs w:val="28"/>
          <w:bdr w:val="none" w:color="auto" w:sz="0" w:space="0"/>
          <w:shd w:val="clear" w:fill="FFFFFF"/>
        </w:rPr>
        <w:t>开展涉及国家秘密的数据处理活动，适用《中华人民共和国保守国家秘密法》等法律、行政法规的规定。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0"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在统计、档案工作中开展数据处理活动，开展涉及个人信息的数据处理活动，还应当遵守有关法律、行政法规的规定。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第五十四条</w:t>
      </w:r>
      <w:r>
        <w:rPr>
          <w:rFonts w:hint="eastAsia" w:ascii="仿宋" w:hAnsi="仿宋" w:eastAsia="仿宋" w:cs="仿宋"/>
          <w:i w:val="0"/>
          <w:iCs w:val="0"/>
          <w:caps w:val="0"/>
          <w:color w:val="333333"/>
          <w:spacing w:val="0"/>
          <w:sz w:val="28"/>
          <w:szCs w:val="28"/>
          <w:bdr w:val="none" w:color="auto" w:sz="0" w:space="0"/>
          <w:shd w:val="clear" w:fill="FFFFFF"/>
        </w:rPr>
        <w:t>军事数据安全保护的办法，由中央军事委员会依据本法另行制定。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62" w:firstLineChars="200"/>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shd w:val="clear" w:fill="FFFFFF"/>
        </w:rPr>
        <w:t>第五十五条</w:t>
      </w:r>
      <w:r>
        <w:rPr>
          <w:rFonts w:hint="eastAsia" w:ascii="仿宋" w:hAnsi="仿宋" w:eastAsia="仿宋" w:cs="仿宋"/>
          <w:i w:val="0"/>
          <w:iCs w:val="0"/>
          <w:caps w:val="0"/>
          <w:color w:val="333333"/>
          <w:spacing w:val="0"/>
          <w:sz w:val="28"/>
          <w:szCs w:val="28"/>
          <w:bdr w:val="none" w:color="auto" w:sz="0" w:space="0"/>
          <w:shd w:val="clear" w:fill="FFFFFF"/>
        </w:rPr>
        <w:t>本法自2021年9月1日起施行。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 w:hAnsi="仿宋" w:eastAsia="仿宋"/>
          <w:color w:val="000000"/>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58C1F"/>
    <w:multiLevelType w:val="singleLevel"/>
    <w:tmpl w:val="3EA58C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FA"/>
    <w:rsid w:val="00130EFA"/>
    <w:rsid w:val="00DF1FBE"/>
    <w:rsid w:val="022E7C9C"/>
    <w:rsid w:val="04B2316F"/>
    <w:rsid w:val="0DAA346F"/>
    <w:rsid w:val="0FBD3354"/>
    <w:rsid w:val="1001539C"/>
    <w:rsid w:val="1B40556B"/>
    <w:rsid w:val="25757A73"/>
    <w:rsid w:val="345B77DA"/>
    <w:rsid w:val="35786CB2"/>
    <w:rsid w:val="3C897F0F"/>
    <w:rsid w:val="3D220EF3"/>
    <w:rsid w:val="3E6867C8"/>
    <w:rsid w:val="410A47C1"/>
    <w:rsid w:val="42180C02"/>
    <w:rsid w:val="452B52D1"/>
    <w:rsid w:val="4A600544"/>
    <w:rsid w:val="5EB822A5"/>
    <w:rsid w:val="66BB428A"/>
    <w:rsid w:val="66EC35C7"/>
    <w:rsid w:val="6715079C"/>
    <w:rsid w:val="73CE57CC"/>
    <w:rsid w:val="73D5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spacing w:before="0" w:beforeAutospacing="1" w:after="0" w:afterAutospacing="1" w:line="26" w:lineRule="atLeast"/>
      <w:ind w:left="0" w:right="0"/>
      <w:jc w:val="left"/>
    </w:pPr>
    <w:rPr>
      <w:kern w:val="0"/>
      <w:sz w:val="24"/>
      <w:lang w:val="en-US" w:eastAsia="zh-CN" w:bidi="ar"/>
    </w:rPr>
  </w:style>
  <w:style w:type="character" w:styleId="7">
    <w:name w:val="Strong"/>
    <w:basedOn w:val="6"/>
    <w:qFormat/>
    <w:uiPriority w:val="22"/>
    <w:rPr>
      <w:b/>
      <w:bCs/>
    </w:rPr>
  </w:style>
  <w:style w:type="character" w:styleId="8">
    <w:name w:val="FollowedHyperlink"/>
    <w:basedOn w:val="6"/>
    <w:semiHidden/>
    <w:unhideWhenUsed/>
    <w:uiPriority w:val="99"/>
    <w:rPr>
      <w:color w:val="3B3B3B"/>
      <w:u w:val="none"/>
    </w:rPr>
  </w:style>
  <w:style w:type="character" w:styleId="9">
    <w:name w:val="Emphasis"/>
    <w:basedOn w:val="6"/>
    <w:qFormat/>
    <w:uiPriority w:val="20"/>
    <w:rPr>
      <w:b/>
      <w:bCs/>
    </w:rPr>
  </w:style>
  <w:style w:type="character" w:styleId="10">
    <w:name w:val="HTML Definition"/>
    <w:basedOn w:val="6"/>
    <w:semiHidden/>
    <w:unhideWhenUsed/>
    <w:uiPriority w:val="99"/>
  </w:style>
  <w:style w:type="character" w:styleId="11">
    <w:name w:val="HTML Variable"/>
    <w:basedOn w:val="6"/>
    <w:semiHidden/>
    <w:unhideWhenUsed/>
    <w:uiPriority w:val="99"/>
  </w:style>
  <w:style w:type="character" w:styleId="12">
    <w:name w:val="Hyperlink"/>
    <w:basedOn w:val="6"/>
    <w:semiHidden/>
    <w:unhideWhenUsed/>
    <w:uiPriority w:val="99"/>
    <w:rPr>
      <w:color w:val="3B3B3B"/>
      <w:u w:val="none"/>
    </w:rPr>
  </w:style>
  <w:style w:type="character" w:styleId="13">
    <w:name w:val="HTML Code"/>
    <w:basedOn w:val="6"/>
    <w:semiHidden/>
    <w:unhideWhenUsed/>
    <w:uiPriority w:val="99"/>
    <w:rPr>
      <w:rFonts w:ascii="Courier New" w:hAnsi="Courier New"/>
      <w:sz w:val="20"/>
    </w:rPr>
  </w:style>
  <w:style w:type="character" w:styleId="14">
    <w:name w:val="HTML Cite"/>
    <w:basedOn w:val="6"/>
    <w:semiHidden/>
    <w:unhideWhenUsed/>
    <w:uiPriority w:val="99"/>
  </w:style>
  <w:style w:type="character" w:styleId="15">
    <w:name w:val="HTML Keyboard"/>
    <w:basedOn w:val="6"/>
    <w:semiHidden/>
    <w:unhideWhenUsed/>
    <w:uiPriority w:val="99"/>
    <w:rPr>
      <w:rFonts w:ascii="Courier New" w:hAnsi="Courier New"/>
      <w:sz w:val="20"/>
    </w:rPr>
  </w:style>
  <w:style w:type="character" w:styleId="16">
    <w:name w:val="HTML Sample"/>
    <w:basedOn w:val="6"/>
    <w:semiHidden/>
    <w:unhideWhenUsed/>
    <w:uiPriority w:val="99"/>
    <w:rPr>
      <w:rFonts w:ascii="Courier New" w:hAnsi="Courier New"/>
    </w:rPr>
  </w:style>
  <w:style w:type="character" w:customStyle="1" w:styleId="17">
    <w:name w:val="column-name18"/>
    <w:basedOn w:val="6"/>
    <w:uiPriority w:val="0"/>
    <w:rPr>
      <w:color w:val="0F429B"/>
    </w:rPr>
  </w:style>
  <w:style w:type="character" w:customStyle="1" w:styleId="18">
    <w:name w:val="pubdate-day"/>
    <w:basedOn w:val="6"/>
    <w:uiPriority w:val="0"/>
    <w:rPr>
      <w:shd w:val="clear" w:fill="F2F2F2"/>
    </w:rPr>
  </w:style>
  <w:style w:type="character" w:customStyle="1" w:styleId="19">
    <w:name w:val="item-name"/>
    <w:basedOn w:val="6"/>
    <w:uiPriority w:val="0"/>
    <w:rPr>
      <w:bdr w:val="none" w:color="auto" w:sz="0" w:space="0"/>
    </w:rPr>
  </w:style>
  <w:style w:type="character" w:customStyle="1" w:styleId="20">
    <w:name w:val="item-name1"/>
    <w:basedOn w:val="6"/>
    <w:uiPriority w:val="0"/>
    <w:rPr>
      <w:bdr w:val="none" w:color="auto" w:sz="0" w:space="0"/>
    </w:rPr>
  </w:style>
  <w:style w:type="character" w:customStyle="1" w:styleId="21">
    <w:name w:val="pubdate-month"/>
    <w:basedOn w:val="6"/>
    <w:uiPriority w:val="0"/>
    <w:rPr>
      <w:color w:val="FFFFFF"/>
      <w:sz w:val="24"/>
      <w:szCs w:val="24"/>
      <w:shd w:val="clear" w:fill="CC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53</Words>
  <Characters>306</Characters>
  <Lines>2</Lines>
  <Paragraphs>1</Paragraphs>
  <TotalTime>864</TotalTime>
  <ScaleCrop>false</ScaleCrop>
  <LinksUpToDate>false</LinksUpToDate>
  <CharactersWithSpaces>358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2022-05-03T01:46:00Z</dcterms:created>
  <dc:creator>Administrator</dc:creator>
  <cp:lastModifiedBy>余忠升</cp:lastModifiedBy>
  <cp:lastPrinted>2022-07-05T23:57:00Z</cp:lastPrinted>
  <dcterms:modified xsi:type="dcterms:W3CDTF">2022-07-11T00:12:17Z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B9E5E4EE4377417EA14F0D6960585369</vt:lpwstr>
  </property>
</Properties>
</file>