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20" w:lineRule="exact"/>
        <w:jc w:val="center"/>
        <w:rPr>
          <w:rFonts w:hint="eastAsia" w:ascii="楷体" w:hAnsi="楷体" w:eastAsia="楷体"/>
          <w:sz w:val="84"/>
          <w:szCs w:val="84"/>
        </w:rPr>
      </w:pPr>
    </w:p>
    <w:p>
      <w:pPr>
        <w:spacing w:line="1120" w:lineRule="exact"/>
        <w:rPr>
          <w:rFonts w:hint="eastAsia" w:ascii="楷体" w:hAnsi="楷体" w:eastAsia="楷体"/>
          <w:sz w:val="84"/>
          <w:szCs w:val="84"/>
        </w:rPr>
      </w:pPr>
    </w:p>
    <w:p>
      <w:pPr>
        <w:spacing w:line="1120" w:lineRule="exact"/>
        <w:jc w:val="center"/>
        <w:rPr>
          <w:rFonts w:hint="eastAsia" w:ascii="楷体" w:hAnsi="楷体" w:eastAsia="楷体"/>
          <w:spacing w:val="-11"/>
          <w:sz w:val="72"/>
          <w:szCs w:val="72"/>
        </w:rPr>
      </w:pPr>
      <w:r>
        <w:rPr>
          <w:rFonts w:hint="eastAsia" w:ascii="楷体" w:hAnsi="楷体" w:eastAsia="楷体"/>
          <w:spacing w:val="-11"/>
          <w:sz w:val="72"/>
          <w:szCs w:val="72"/>
        </w:rPr>
        <w:t>县</w:t>
      </w:r>
      <w:r>
        <w:rPr>
          <w:rFonts w:hint="eastAsia" w:ascii="楷体" w:hAnsi="楷体" w:eastAsia="楷体"/>
          <w:spacing w:val="-11"/>
          <w:sz w:val="72"/>
          <w:szCs w:val="72"/>
          <w:lang w:val="en-US" w:eastAsia="zh-CN"/>
        </w:rPr>
        <w:t>十八届</w:t>
      </w:r>
      <w:r>
        <w:rPr>
          <w:rFonts w:hint="eastAsia" w:ascii="楷体" w:hAnsi="楷体" w:eastAsia="楷体"/>
          <w:spacing w:val="-11"/>
          <w:sz w:val="72"/>
          <w:szCs w:val="72"/>
        </w:rPr>
        <w:t>人大常委会</w:t>
      </w:r>
    </w:p>
    <w:p>
      <w:pPr>
        <w:spacing w:line="1120" w:lineRule="exact"/>
        <w:jc w:val="center"/>
        <w:rPr>
          <w:rFonts w:hint="eastAsia" w:ascii="楷体" w:hAnsi="楷体" w:eastAsia="楷体"/>
          <w:sz w:val="72"/>
          <w:szCs w:val="72"/>
        </w:rPr>
      </w:pPr>
      <w:r>
        <w:rPr>
          <w:rFonts w:hint="eastAsia" w:ascii="楷体" w:hAnsi="楷体" w:eastAsia="楷体"/>
          <w:sz w:val="72"/>
          <w:szCs w:val="72"/>
        </w:rPr>
        <w:t>第</w:t>
      </w:r>
      <w:r>
        <w:rPr>
          <w:rFonts w:hint="eastAsia" w:ascii="楷体" w:hAnsi="楷体" w:eastAsia="楷体"/>
          <w:sz w:val="72"/>
          <w:szCs w:val="72"/>
          <w:lang w:val="en-US" w:eastAsia="zh-CN"/>
        </w:rPr>
        <w:t>三</w:t>
      </w:r>
      <w:r>
        <w:rPr>
          <w:rFonts w:hint="eastAsia" w:ascii="楷体" w:hAnsi="楷体" w:eastAsia="楷体"/>
          <w:sz w:val="72"/>
          <w:szCs w:val="72"/>
        </w:rPr>
        <w:t>期“法治讲座”材料</w:t>
      </w:r>
    </w:p>
    <w:p>
      <w:pPr>
        <w:spacing w:line="1440" w:lineRule="exact"/>
        <w:jc w:val="center"/>
        <w:rPr>
          <w:rFonts w:hint="eastAsia" w:ascii="楷体" w:hAnsi="楷体" w:eastAsia="楷体"/>
          <w:sz w:val="144"/>
          <w:szCs w:val="144"/>
        </w:rPr>
      </w:pPr>
    </w:p>
    <w:p>
      <w:pPr>
        <w:spacing w:line="500" w:lineRule="exact"/>
        <w:jc w:val="center"/>
        <w:rPr>
          <w:rFonts w:hint="eastAsia" w:ascii="楷体" w:hAnsi="楷体" w:eastAsia="楷体"/>
          <w:sz w:val="44"/>
          <w:szCs w:val="44"/>
        </w:rPr>
      </w:pPr>
    </w:p>
    <w:p>
      <w:pPr>
        <w:spacing w:line="500" w:lineRule="exact"/>
        <w:jc w:val="center"/>
        <w:rPr>
          <w:rFonts w:hint="eastAsia" w:ascii="楷体" w:hAnsi="楷体" w:eastAsia="楷体"/>
          <w:sz w:val="44"/>
          <w:szCs w:val="44"/>
        </w:rPr>
      </w:pPr>
    </w:p>
    <w:p>
      <w:pPr>
        <w:spacing w:line="500" w:lineRule="exact"/>
        <w:jc w:val="center"/>
        <w:rPr>
          <w:rFonts w:hint="eastAsia" w:ascii="楷体" w:hAnsi="楷体" w:eastAsia="楷体"/>
          <w:sz w:val="44"/>
          <w:szCs w:val="44"/>
        </w:rPr>
      </w:pPr>
    </w:p>
    <w:p>
      <w:pPr>
        <w:spacing w:line="500" w:lineRule="exact"/>
        <w:jc w:val="center"/>
        <w:rPr>
          <w:rFonts w:hint="eastAsia" w:ascii="楷体" w:hAnsi="楷体" w:eastAsia="楷体"/>
          <w:sz w:val="44"/>
          <w:szCs w:val="44"/>
        </w:rPr>
      </w:pPr>
    </w:p>
    <w:p>
      <w:pPr>
        <w:spacing w:line="500" w:lineRule="exact"/>
        <w:jc w:val="center"/>
        <w:rPr>
          <w:rFonts w:hint="eastAsia" w:ascii="楷体" w:hAnsi="楷体" w:eastAsia="楷体"/>
          <w:sz w:val="44"/>
          <w:szCs w:val="44"/>
        </w:rPr>
      </w:pPr>
    </w:p>
    <w:p>
      <w:pPr>
        <w:spacing w:line="500" w:lineRule="exact"/>
        <w:jc w:val="center"/>
        <w:rPr>
          <w:rFonts w:hint="eastAsia" w:ascii="楷体" w:hAnsi="楷体" w:eastAsia="楷体"/>
          <w:sz w:val="44"/>
          <w:szCs w:val="44"/>
        </w:rPr>
      </w:pPr>
    </w:p>
    <w:p>
      <w:pPr>
        <w:spacing w:line="500" w:lineRule="exact"/>
        <w:jc w:val="center"/>
        <w:rPr>
          <w:rFonts w:hint="eastAsia" w:ascii="楷体" w:hAnsi="楷体" w:eastAsia="楷体"/>
          <w:sz w:val="44"/>
          <w:szCs w:val="44"/>
        </w:rPr>
      </w:pPr>
    </w:p>
    <w:p>
      <w:pPr>
        <w:spacing w:line="500" w:lineRule="exact"/>
        <w:jc w:val="center"/>
        <w:rPr>
          <w:rFonts w:hint="eastAsia" w:ascii="楷体" w:hAnsi="楷体" w:eastAsia="楷体"/>
          <w:sz w:val="44"/>
          <w:szCs w:val="44"/>
        </w:rPr>
      </w:pPr>
      <w:r>
        <w:rPr>
          <w:rFonts w:hint="eastAsia" w:ascii="楷体" w:hAnsi="楷体" w:eastAsia="楷体"/>
          <w:sz w:val="44"/>
          <w:szCs w:val="44"/>
        </w:rPr>
        <w:t>霍邱县人大常委会办公室</w:t>
      </w:r>
    </w:p>
    <w:p>
      <w:pPr>
        <w:spacing w:line="500" w:lineRule="exact"/>
        <w:jc w:val="center"/>
        <w:rPr>
          <w:rFonts w:hint="eastAsia" w:ascii="楷体" w:hAnsi="楷体" w:eastAsia="楷体"/>
          <w:sz w:val="44"/>
          <w:szCs w:val="44"/>
        </w:rPr>
      </w:pPr>
    </w:p>
    <w:p>
      <w:pPr>
        <w:spacing w:line="500" w:lineRule="exact"/>
        <w:jc w:val="center"/>
        <w:rPr>
          <w:rFonts w:hint="eastAsia" w:ascii="楷体" w:hAnsi="楷体" w:eastAsia="楷体"/>
          <w:sz w:val="44"/>
          <w:szCs w:val="44"/>
        </w:rPr>
      </w:pPr>
      <w:r>
        <w:rPr>
          <w:rFonts w:hint="eastAsia" w:ascii="楷体" w:hAnsi="楷体" w:eastAsia="楷体"/>
          <w:sz w:val="44"/>
          <w:szCs w:val="44"/>
        </w:rPr>
        <w:t>202</w:t>
      </w:r>
      <w:r>
        <w:rPr>
          <w:rFonts w:hint="eastAsia" w:ascii="楷体" w:hAnsi="楷体" w:eastAsia="楷体"/>
          <w:sz w:val="44"/>
          <w:szCs w:val="44"/>
          <w:lang w:val="en-US" w:eastAsia="zh-CN"/>
        </w:rPr>
        <w:t>2</w:t>
      </w:r>
      <w:r>
        <w:rPr>
          <w:rFonts w:hint="eastAsia" w:ascii="楷体" w:hAnsi="楷体" w:eastAsia="楷体"/>
          <w:sz w:val="44"/>
          <w:szCs w:val="44"/>
        </w:rPr>
        <w:t>年</w:t>
      </w:r>
      <w:r>
        <w:rPr>
          <w:rFonts w:hint="eastAsia" w:ascii="楷体" w:hAnsi="楷体" w:eastAsia="楷体"/>
          <w:sz w:val="44"/>
          <w:szCs w:val="44"/>
          <w:lang w:val="en-US" w:eastAsia="zh-CN"/>
        </w:rPr>
        <w:t>11</w:t>
      </w:r>
      <w:r>
        <w:rPr>
          <w:rFonts w:hint="eastAsia" w:ascii="楷体" w:hAnsi="楷体" w:eastAsia="楷体"/>
          <w:sz w:val="44"/>
          <w:szCs w:val="44"/>
        </w:rPr>
        <w:t>月</w:t>
      </w:r>
      <w:r>
        <w:rPr>
          <w:rFonts w:hint="eastAsia" w:ascii="楷体" w:hAnsi="楷体" w:eastAsia="楷体"/>
          <w:sz w:val="44"/>
          <w:szCs w:val="44"/>
          <w:lang w:val="en-US" w:eastAsia="zh-CN"/>
        </w:rPr>
        <w:t>1</w:t>
      </w:r>
      <w:r>
        <w:rPr>
          <w:rFonts w:hint="eastAsia" w:ascii="楷体" w:hAnsi="楷体" w:eastAsia="楷体"/>
          <w:sz w:val="44"/>
          <w:szCs w:val="44"/>
        </w:rPr>
        <w:t>日</w:t>
      </w:r>
    </w:p>
    <w:p>
      <w:pPr>
        <w:spacing w:line="500" w:lineRule="exact"/>
        <w:jc w:val="center"/>
        <w:rPr>
          <w:rFonts w:hint="eastAsia" w:ascii="楷体" w:hAnsi="楷体" w:eastAsia="楷体"/>
          <w:sz w:val="44"/>
          <w:szCs w:val="44"/>
        </w:rPr>
      </w:pPr>
    </w:p>
    <w:p>
      <w:pPr>
        <w:spacing w:line="500" w:lineRule="exact"/>
        <w:jc w:val="center"/>
        <w:rPr>
          <w:rFonts w:hint="eastAsia" w:ascii="楷体" w:hAnsi="楷体" w:eastAsia="楷体"/>
          <w:sz w:val="44"/>
          <w:szCs w:val="44"/>
        </w:rPr>
      </w:pPr>
    </w:p>
    <w:p>
      <w:pPr>
        <w:spacing w:line="500" w:lineRule="exact"/>
        <w:jc w:val="center"/>
        <w:rPr>
          <w:rFonts w:hint="eastAsia" w:ascii="楷体" w:hAnsi="楷体" w:eastAsia="楷体"/>
          <w:sz w:val="44"/>
          <w:szCs w:val="44"/>
        </w:rPr>
      </w:pPr>
    </w:p>
    <w:p>
      <w:pPr>
        <w:spacing w:line="500" w:lineRule="exact"/>
        <w:jc w:val="center"/>
        <w:rPr>
          <w:rFonts w:hint="eastAsia" w:ascii="楷体" w:hAnsi="楷体" w:eastAsia="楷体"/>
          <w:color w:val="000000"/>
          <w:spacing w:val="-20"/>
          <w:sz w:val="44"/>
          <w:szCs w:val="44"/>
        </w:rPr>
      </w:pPr>
    </w:p>
    <w:p>
      <w:pPr>
        <w:spacing w:line="500" w:lineRule="exact"/>
        <w:jc w:val="center"/>
        <w:rPr>
          <w:rFonts w:hint="eastAsia" w:ascii="楷体" w:hAnsi="楷体" w:eastAsia="楷体"/>
          <w:color w:val="000000"/>
          <w:spacing w:val="-20"/>
          <w:sz w:val="44"/>
          <w:szCs w:val="44"/>
        </w:rPr>
      </w:pPr>
    </w:p>
    <w:p>
      <w:pPr>
        <w:spacing w:line="500" w:lineRule="exact"/>
        <w:jc w:val="center"/>
        <w:rPr>
          <w:rFonts w:hint="eastAsia" w:ascii="楷体" w:hAnsi="楷体" w:eastAsia="楷体"/>
          <w:color w:val="000000"/>
          <w:spacing w:val="-20"/>
          <w:sz w:val="44"/>
          <w:szCs w:val="44"/>
        </w:rPr>
      </w:pPr>
    </w:p>
    <w:p>
      <w:pPr>
        <w:spacing w:line="500" w:lineRule="exact"/>
        <w:jc w:val="center"/>
        <w:rPr>
          <w:rFonts w:ascii="楷体" w:hAnsi="楷体" w:eastAsia="楷体"/>
          <w:color w:val="000000"/>
          <w:sz w:val="44"/>
          <w:szCs w:val="44"/>
        </w:rPr>
      </w:pPr>
      <w:r>
        <w:rPr>
          <w:rFonts w:hint="eastAsia" w:ascii="楷体" w:hAnsi="楷体" w:eastAsia="楷体"/>
          <w:color w:val="000000"/>
          <w:spacing w:val="-20"/>
          <w:sz w:val="44"/>
          <w:szCs w:val="44"/>
        </w:rPr>
        <w:t>县十八届人大常委会第三期“法治讲座”方</w:t>
      </w:r>
      <w:r>
        <w:rPr>
          <w:rFonts w:hint="eastAsia" w:ascii="楷体" w:hAnsi="楷体" w:eastAsia="楷体"/>
          <w:color w:val="000000"/>
          <w:sz w:val="44"/>
          <w:szCs w:val="44"/>
        </w:rPr>
        <w:t>案</w:t>
      </w:r>
    </w:p>
    <w:p>
      <w:pPr>
        <w:spacing w:line="500" w:lineRule="exact"/>
        <w:jc w:val="center"/>
        <w:rPr>
          <w:rFonts w:hint="eastAsia" w:ascii="仿宋" w:hAnsi="仿宋" w:eastAsia="仿宋"/>
          <w:color w:val="000000"/>
          <w:spacing w:val="8"/>
          <w:sz w:val="32"/>
          <w:szCs w:val="32"/>
        </w:rPr>
      </w:pPr>
      <w:r>
        <w:rPr>
          <w:rFonts w:hint="eastAsia" w:ascii="仿宋" w:hAnsi="仿宋" w:eastAsia="仿宋"/>
          <w:color w:val="000000"/>
          <w:spacing w:val="8"/>
          <w:sz w:val="32"/>
          <w:szCs w:val="32"/>
        </w:rPr>
        <w:t xml:space="preserve"> </w:t>
      </w:r>
    </w:p>
    <w:p>
      <w:pPr>
        <w:spacing w:line="560" w:lineRule="exact"/>
        <w:ind w:firstLine="640" w:firstLineChars="200"/>
        <w:jc w:val="center"/>
        <w:rPr>
          <w:rFonts w:hint="eastAsia" w:ascii="仿宋" w:hAnsi="仿宋" w:eastAsia="仿宋"/>
          <w:color w:val="000000"/>
          <w:sz w:val="32"/>
          <w:szCs w:val="32"/>
        </w:rPr>
      </w:pPr>
      <w:r>
        <w:rPr>
          <w:rFonts w:hint="eastAsia" w:ascii="仿宋" w:hAnsi="仿宋" w:eastAsia="仿宋"/>
          <w:color w:val="000000"/>
          <w:sz w:val="32"/>
          <w:szCs w:val="32"/>
        </w:rPr>
        <w:t xml:space="preserve"> </w:t>
      </w:r>
    </w:p>
    <w:p>
      <w:pPr>
        <w:spacing w:line="560" w:lineRule="exact"/>
        <w:ind w:firstLine="643" w:firstLineChars="200"/>
        <w:rPr>
          <w:rFonts w:hint="eastAsia" w:ascii="楷体" w:hAnsi="楷体" w:eastAsia="楷体"/>
          <w:b/>
          <w:color w:val="000000"/>
          <w:sz w:val="32"/>
          <w:szCs w:val="32"/>
        </w:rPr>
      </w:pPr>
      <w:r>
        <w:rPr>
          <w:rFonts w:hint="eastAsia" w:ascii="楷体" w:hAnsi="楷体" w:eastAsia="楷体"/>
          <w:b/>
          <w:color w:val="000000"/>
          <w:sz w:val="32"/>
          <w:szCs w:val="32"/>
        </w:rPr>
        <w:t>一、时间和地点</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2022</w:t>
      </w:r>
      <w:r>
        <w:rPr>
          <w:rFonts w:hint="eastAsia" w:ascii="仿宋" w:hAnsi="仿宋" w:eastAsia="仿宋"/>
          <w:color w:val="000000"/>
          <w:spacing w:val="-20"/>
          <w:sz w:val="32"/>
          <w:szCs w:val="32"/>
        </w:rPr>
        <w:t xml:space="preserve">年11月1日 上午8：30 </w:t>
      </w:r>
      <w:r>
        <w:rPr>
          <w:rFonts w:hint="eastAsia" w:ascii="仿宋" w:hAnsi="仿宋" w:eastAsia="仿宋"/>
          <w:color w:val="000000"/>
          <w:sz w:val="32"/>
          <w:szCs w:val="32"/>
        </w:rPr>
        <w:t>，</w:t>
      </w:r>
      <w:r>
        <w:rPr>
          <w:rFonts w:hint="eastAsia" w:ascii="仿宋" w:hAnsi="仿宋" w:eastAsia="仿宋"/>
          <w:color w:val="000000"/>
          <w:spacing w:val="8"/>
          <w:sz w:val="32"/>
          <w:szCs w:val="32"/>
        </w:rPr>
        <w:t>在县水利局11楼</w:t>
      </w:r>
      <w:r>
        <w:rPr>
          <w:rFonts w:hint="eastAsia" w:ascii="仿宋" w:hAnsi="仿宋" w:eastAsia="仿宋"/>
          <w:color w:val="000000"/>
          <w:sz w:val="32"/>
          <w:szCs w:val="32"/>
        </w:rPr>
        <w:t>会议室。</w:t>
      </w:r>
    </w:p>
    <w:p>
      <w:pPr>
        <w:spacing w:line="560" w:lineRule="exact"/>
        <w:ind w:firstLine="643" w:firstLineChars="200"/>
        <w:rPr>
          <w:rFonts w:hint="eastAsia" w:ascii="楷体" w:hAnsi="楷体" w:eastAsia="楷体"/>
          <w:b/>
          <w:color w:val="000000"/>
          <w:sz w:val="32"/>
          <w:szCs w:val="32"/>
        </w:rPr>
      </w:pPr>
      <w:r>
        <w:rPr>
          <w:rFonts w:hint="eastAsia" w:ascii="楷体" w:hAnsi="楷体" w:eastAsia="楷体"/>
          <w:b/>
          <w:color w:val="000000"/>
          <w:sz w:val="32"/>
          <w:szCs w:val="32"/>
        </w:rPr>
        <w:t>二、参会人员</w:t>
      </w:r>
    </w:p>
    <w:p>
      <w:pPr>
        <w:spacing w:line="560" w:lineRule="exact"/>
        <w:ind w:firstLine="720" w:firstLineChars="200"/>
        <w:rPr>
          <w:rFonts w:hint="eastAsia" w:ascii="仿宋" w:hAnsi="仿宋" w:eastAsia="仿宋"/>
          <w:color w:val="000000"/>
          <w:sz w:val="32"/>
          <w:szCs w:val="32"/>
        </w:rPr>
      </w:pPr>
      <w:r>
        <w:rPr>
          <w:rFonts w:hint="eastAsia" w:ascii="仿宋" w:hAnsi="仿宋" w:eastAsia="仿宋"/>
          <w:color w:val="000000"/>
          <w:spacing w:val="20"/>
          <w:sz w:val="32"/>
          <w:szCs w:val="32"/>
        </w:rPr>
        <w:t>县人大常委会组成人员，各乡镇人大主席</w:t>
      </w:r>
      <w:r>
        <w:rPr>
          <w:rFonts w:hint="eastAsia" w:ascii="仿宋" w:hAnsi="仿宋" w:eastAsia="仿宋"/>
          <w:color w:val="000000"/>
          <w:sz w:val="32"/>
          <w:szCs w:val="32"/>
        </w:rPr>
        <w:t>，经济开发区联系人大工作的党工委负责人，部分政府部门（司法局、教育局、市场监管局、人社局、农业农村局、卫健委）主要负责人，人</w:t>
      </w:r>
      <w:r>
        <w:rPr>
          <w:rFonts w:hint="eastAsia" w:ascii="仿宋" w:hAnsi="仿宋" w:eastAsia="仿宋"/>
          <w:color w:val="000000"/>
          <w:sz w:val="32"/>
          <w:szCs w:val="32"/>
          <w:lang w:eastAsia="zh-CN"/>
        </w:rPr>
        <w:t>大</w:t>
      </w:r>
      <w:bookmarkStart w:id="0" w:name="_GoBack"/>
      <w:bookmarkEnd w:id="0"/>
      <w:r>
        <w:rPr>
          <w:rFonts w:hint="eastAsia" w:ascii="仿宋" w:hAnsi="仿宋" w:eastAsia="仿宋"/>
          <w:color w:val="000000"/>
          <w:sz w:val="32"/>
          <w:szCs w:val="32"/>
        </w:rPr>
        <w:t>办公室工作人员。</w:t>
      </w:r>
    </w:p>
    <w:p>
      <w:pPr>
        <w:spacing w:line="560" w:lineRule="exact"/>
        <w:ind w:firstLine="643" w:firstLineChars="200"/>
        <w:rPr>
          <w:rFonts w:hint="eastAsia" w:ascii="楷体" w:hAnsi="楷体" w:eastAsia="楷体"/>
          <w:b/>
          <w:color w:val="000000"/>
          <w:sz w:val="32"/>
          <w:szCs w:val="32"/>
        </w:rPr>
      </w:pPr>
      <w:r>
        <w:rPr>
          <w:rFonts w:hint="eastAsia" w:ascii="楷体" w:hAnsi="楷体" w:eastAsia="楷体"/>
          <w:b/>
          <w:color w:val="000000"/>
          <w:sz w:val="32"/>
          <w:szCs w:val="32"/>
        </w:rPr>
        <w:t>三、讲座议程</w:t>
      </w:r>
    </w:p>
    <w:p>
      <w:pPr>
        <w:spacing w:line="560" w:lineRule="exact"/>
        <w:ind w:firstLine="627" w:firstLineChars="196"/>
        <w:rPr>
          <w:rFonts w:hint="eastAsia" w:ascii="仿宋" w:hAnsi="仿宋" w:eastAsia="仿宋"/>
          <w:color w:val="000000"/>
          <w:sz w:val="32"/>
          <w:szCs w:val="32"/>
        </w:rPr>
      </w:pPr>
      <w:r>
        <w:rPr>
          <w:rFonts w:hint="eastAsia" w:ascii="仿宋" w:hAnsi="仿宋" w:eastAsia="仿宋"/>
          <w:color w:val="000000"/>
          <w:sz w:val="32"/>
          <w:szCs w:val="32"/>
        </w:rPr>
        <w:t>主持人：县人大常委会副主任   王光华</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1.邀请县教育局局长傅云飞解读《职业教育法》；</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2.邀请县市场监管局局长刘学昌解读《食品安全法》。 </w:t>
      </w:r>
    </w:p>
    <w:p>
      <w:pPr>
        <w:ind w:firstLine="640" w:firstLineChars="200"/>
        <w:rPr>
          <w:rFonts w:hint="eastAsia" w:ascii="仿宋_GB2312"/>
          <w:color w:val="000000"/>
          <w:sz w:val="32"/>
          <w:szCs w:val="32"/>
        </w:rPr>
      </w:pPr>
      <w:r>
        <w:rPr>
          <w:rFonts w:hint="eastAsia" w:ascii="仿宋_GB2312"/>
          <w:color w:val="000000"/>
          <w:sz w:val="32"/>
          <w:szCs w:val="32"/>
        </w:rPr>
        <w:t xml:space="preserve"> </w:t>
      </w:r>
    </w:p>
    <w:p>
      <w:pPr>
        <w:spacing w:line="660" w:lineRule="exact"/>
        <w:ind w:firstLine="4640" w:firstLineChars="1450"/>
        <w:rPr>
          <w:rFonts w:hint="eastAsia" w:ascii="仿宋" w:hAnsi="仿宋" w:eastAsia="仿宋"/>
          <w:color w:val="000000"/>
          <w:sz w:val="32"/>
          <w:szCs w:val="32"/>
        </w:rPr>
      </w:pPr>
      <w:r>
        <w:rPr>
          <w:rFonts w:hint="eastAsia" w:ascii="仿宋" w:hAnsi="仿宋" w:eastAsia="仿宋"/>
          <w:color w:val="000000"/>
          <w:sz w:val="32"/>
          <w:szCs w:val="32"/>
        </w:rPr>
        <w:t xml:space="preserve"> </w:t>
      </w:r>
    </w:p>
    <w:p>
      <w:pPr>
        <w:spacing w:line="660" w:lineRule="exact"/>
        <w:ind w:firstLine="4640" w:firstLineChars="1450"/>
        <w:rPr>
          <w:rFonts w:hint="eastAsia" w:ascii="仿宋" w:hAnsi="仿宋" w:eastAsia="仿宋"/>
          <w:color w:val="000000"/>
          <w:sz w:val="32"/>
          <w:szCs w:val="32"/>
        </w:rPr>
      </w:pPr>
      <w:r>
        <w:rPr>
          <w:rFonts w:hint="eastAsia" w:ascii="仿宋" w:hAnsi="仿宋" w:eastAsia="仿宋"/>
          <w:color w:val="000000"/>
          <w:sz w:val="32"/>
          <w:szCs w:val="32"/>
        </w:rPr>
        <w:t xml:space="preserve"> </w:t>
      </w:r>
    </w:p>
    <w:p>
      <w:pPr>
        <w:spacing w:line="660" w:lineRule="exact"/>
        <w:ind w:firstLine="4640" w:firstLineChars="1450"/>
        <w:rPr>
          <w:rFonts w:hint="eastAsia" w:ascii="仿宋" w:hAnsi="仿宋" w:eastAsia="仿宋"/>
          <w:color w:val="000000"/>
          <w:sz w:val="32"/>
          <w:szCs w:val="32"/>
        </w:rPr>
      </w:pPr>
      <w:r>
        <w:rPr>
          <w:rFonts w:hint="eastAsia" w:ascii="仿宋" w:hAnsi="仿宋" w:eastAsia="仿宋"/>
          <w:color w:val="000000"/>
          <w:sz w:val="32"/>
          <w:szCs w:val="32"/>
        </w:rPr>
        <w:t>霍邱县人大常委会办公室</w:t>
      </w:r>
    </w:p>
    <w:p>
      <w:pPr>
        <w:spacing w:line="660" w:lineRule="exact"/>
        <w:ind w:firstLine="5280" w:firstLineChars="1650"/>
        <w:rPr>
          <w:rFonts w:hint="eastAsia" w:ascii="仿宋" w:hAnsi="仿宋" w:eastAsia="仿宋"/>
          <w:color w:val="000000"/>
          <w:sz w:val="32"/>
          <w:szCs w:val="32"/>
        </w:rPr>
      </w:pPr>
      <w:r>
        <w:rPr>
          <w:rFonts w:hint="eastAsia" w:ascii="仿宋" w:hAnsi="仿宋" w:eastAsia="仿宋"/>
          <w:color w:val="000000"/>
          <w:sz w:val="32"/>
          <w:szCs w:val="32"/>
        </w:rPr>
        <w:t>2022年11月1日</w:t>
      </w:r>
    </w:p>
    <w:p/>
    <w:p/>
    <w:p/>
    <w:p/>
    <w:p/>
    <w:p/>
    <w:p/>
    <w:p/>
    <w:p/>
    <w:p>
      <w:pPr>
        <w:jc w:val="center"/>
        <w:rPr>
          <w:rFonts w:hint="eastAsia" w:ascii="楷体" w:hAnsi="楷体" w:eastAsia="楷体" w:cs="楷体"/>
          <w:sz w:val="44"/>
          <w:szCs w:val="44"/>
        </w:rPr>
      </w:pPr>
      <w:r>
        <w:rPr>
          <w:rFonts w:hint="eastAsia" w:ascii="楷体" w:hAnsi="楷体" w:eastAsia="楷体" w:cs="楷体"/>
          <w:sz w:val="44"/>
          <w:szCs w:val="44"/>
        </w:rPr>
        <w:t>《</w:t>
      </w:r>
      <w:r>
        <w:rPr>
          <w:rFonts w:hint="eastAsia" w:ascii="楷体" w:hAnsi="楷体" w:eastAsia="楷体" w:cs="楷体"/>
          <w:sz w:val="44"/>
          <w:szCs w:val="44"/>
          <w:lang w:eastAsia="zh-CN"/>
        </w:rPr>
        <w:t>中华人民共和国</w:t>
      </w:r>
      <w:r>
        <w:rPr>
          <w:rFonts w:hint="eastAsia" w:ascii="楷体" w:hAnsi="楷体" w:eastAsia="楷体" w:cs="楷体"/>
          <w:sz w:val="44"/>
          <w:szCs w:val="44"/>
        </w:rPr>
        <w:t>职业教育法》解读提纲</w:t>
      </w:r>
    </w:p>
    <w:p>
      <w:pPr>
        <w:rPr>
          <w:rFonts w:hint="eastAsia"/>
        </w:rPr>
      </w:pPr>
    </w:p>
    <w:p>
      <w:pPr>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霍邱县教育局</w:t>
      </w:r>
      <w:r>
        <w:rPr>
          <w:rFonts w:hint="eastAsia" w:ascii="楷体_GB2312" w:hAnsi="楷体_GB2312" w:eastAsia="楷体_GB2312" w:cs="楷体_GB2312"/>
          <w:sz w:val="24"/>
          <w:szCs w:val="24"/>
          <w:lang w:eastAsia="zh-CN"/>
        </w:rPr>
        <w:t>局长</w:t>
      </w:r>
      <w:r>
        <w:rPr>
          <w:rFonts w:hint="eastAsia" w:ascii="楷体_GB2312" w:hAnsi="楷体_GB2312" w:eastAsia="楷体_GB2312" w:cs="楷体_GB2312"/>
          <w:sz w:val="24"/>
          <w:szCs w:val="24"/>
        </w:rPr>
        <w:t xml:space="preserve">  傅云飞</w:t>
      </w:r>
    </w:p>
    <w:p>
      <w:pPr>
        <w:numPr>
          <w:ilvl w:val="0"/>
          <w:numId w:val="1"/>
        </w:numPr>
        <w:rPr>
          <w:rFonts w:hint="eastAsia"/>
          <w:b/>
          <w:bCs/>
          <w:sz w:val="30"/>
          <w:szCs w:val="30"/>
        </w:rPr>
      </w:pPr>
      <w:r>
        <w:rPr>
          <w:rFonts w:hint="eastAsia"/>
          <w:b/>
          <w:bCs/>
          <w:sz w:val="30"/>
          <w:szCs w:val="30"/>
        </w:rPr>
        <w:t>《职业教育法》概况</w:t>
      </w:r>
    </w:p>
    <w:p>
      <w:pPr>
        <w:numPr>
          <w:ilvl w:val="0"/>
          <w:numId w:val="0"/>
        </w:numPr>
        <w:rPr>
          <w:rFonts w:hint="eastAsia"/>
          <w:sz w:val="30"/>
          <w:szCs w:val="30"/>
        </w:rPr>
      </w:pPr>
      <w:r>
        <w:rPr>
          <w:rFonts w:hint="eastAsia"/>
          <w:sz w:val="30"/>
          <w:szCs w:val="30"/>
          <w:lang w:eastAsia="zh-CN"/>
        </w:rPr>
        <w:t>（</w:t>
      </w:r>
      <w:r>
        <w:rPr>
          <w:rFonts w:hint="eastAsia"/>
          <w:sz w:val="30"/>
          <w:szCs w:val="30"/>
        </w:rPr>
        <w:t>一）《职业教育法》制定修改历程</w:t>
      </w:r>
    </w:p>
    <w:p>
      <w:pPr>
        <w:numPr>
          <w:ilvl w:val="0"/>
          <w:numId w:val="0"/>
        </w:numPr>
        <w:ind w:firstLine="300" w:firstLineChars="100"/>
        <w:rPr>
          <w:rFonts w:hint="eastAsia"/>
          <w:sz w:val="30"/>
          <w:szCs w:val="30"/>
          <w:lang w:eastAsia="zh-CN"/>
        </w:rPr>
      </w:pPr>
      <w:r>
        <w:rPr>
          <w:rFonts w:hint="eastAsia"/>
          <w:sz w:val="30"/>
          <w:szCs w:val="30"/>
        </w:rPr>
        <w:t>1996年5月15日，新中国首部《职业教育法》正式颁</w:t>
      </w:r>
      <w:r>
        <w:rPr>
          <w:rFonts w:hint="eastAsia"/>
          <w:sz w:val="30"/>
          <w:szCs w:val="30"/>
          <w:lang w:eastAsia="zh-CN"/>
        </w:rPr>
        <w:t>布，</w:t>
      </w:r>
      <w:r>
        <w:rPr>
          <w:rFonts w:hint="eastAsia"/>
          <w:sz w:val="30"/>
          <w:szCs w:val="30"/>
        </w:rPr>
        <w:t>五章40条。</w:t>
      </w:r>
      <w:r>
        <w:rPr>
          <w:rFonts w:hint="eastAsia"/>
          <w:sz w:val="30"/>
          <w:szCs w:val="30"/>
          <w:lang w:val="en-US" w:eastAsia="zh-CN"/>
        </w:rPr>
        <w:t>2008年</w:t>
      </w:r>
      <w:r>
        <w:rPr>
          <w:rFonts w:hint="eastAsia"/>
          <w:sz w:val="30"/>
          <w:szCs w:val="30"/>
        </w:rPr>
        <w:t>国务院</w:t>
      </w:r>
      <w:r>
        <w:rPr>
          <w:rFonts w:hint="eastAsia"/>
          <w:sz w:val="30"/>
          <w:szCs w:val="30"/>
          <w:lang w:eastAsia="zh-CN"/>
        </w:rPr>
        <w:t>提出修改动议，</w:t>
      </w:r>
      <w:r>
        <w:rPr>
          <w:rFonts w:hint="eastAsia"/>
          <w:sz w:val="30"/>
          <w:szCs w:val="30"/>
        </w:rPr>
        <w:t>过2021年6月、12月向全国人大常委会提请审议职业教育法修订草案的议案</w:t>
      </w:r>
      <w:r>
        <w:rPr>
          <w:rFonts w:hint="eastAsia"/>
          <w:sz w:val="30"/>
          <w:szCs w:val="30"/>
          <w:lang w:eastAsia="zh-CN"/>
        </w:rPr>
        <w:t>，</w:t>
      </w:r>
      <w:r>
        <w:rPr>
          <w:rFonts w:hint="eastAsia"/>
          <w:sz w:val="30"/>
          <w:szCs w:val="30"/>
        </w:rPr>
        <w:t>2022年4月的三次常委会会议审议后通过</w:t>
      </w:r>
      <w:r>
        <w:rPr>
          <w:rFonts w:hint="eastAsia"/>
          <w:sz w:val="30"/>
          <w:szCs w:val="30"/>
          <w:lang w:eastAsia="zh-CN"/>
        </w:rPr>
        <w:t>。</w:t>
      </w:r>
    </w:p>
    <w:p>
      <w:pPr>
        <w:numPr>
          <w:ilvl w:val="0"/>
          <w:numId w:val="0"/>
        </w:numPr>
        <w:ind w:firstLine="300" w:firstLineChars="100"/>
        <w:rPr>
          <w:rFonts w:hint="default" w:eastAsia="仿宋_GB2312"/>
          <w:sz w:val="30"/>
          <w:szCs w:val="30"/>
          <w:lang w:val="en-US" w:eastAsia="zh-CN"/>
        </w:rPr>
      </w:pPr>
      <w:r>
        <w:rPr>
          <w:rFonts w:hint="eastAsia"/>
          <w:sz w:val="30"/>
          <w:szCs w:val="30"/>
          <w:lang w:eastAsia="zh-CN"/>
        </w:rPr>
        <w:t>（二）新旧《职业教育法》结构内容对比：修订后</w:t>
      </w:r>
      <w:r>
        <w:rPr>
          <w:rFonts w:hint="eastAsia"/>
          <w:sz w:val="30"/>
          <w:szCs w:val="30"/>
        </w:rPr>
        <w:t>《职业教育法》</w:t>
      </w:r>
      <w:r>
        <w:rPr>
          <w:rFonts w:hint="eastAsia"/>
          <w:sz w:val="30"/>
          <w:szCs w:val="30"/>
          <w:lang w:val="en-US" w:eastAsia="zh-CN"/>
        </w:rPr>
        <w:t>8章69条。</w:t>
      </w:r>
    </w:p>
    <w:p>
      <w:pPr>
        <w:rPr>
          <w:rFonts w:hint="eastAsia"/>
          <w:b/>
          <w:bCs/>
          <w:sz w:val="30"/>
          <w:szCs w:val="30"/>
        </w:rPr>
      </w:pPr>
      <w:r>
        <w:rPr>
          <w:rFonts w:hint="eastAsia"/>
          <w:sz w:val="30"/>
          <w:szCs w:val="30"/>
        </w:rPr>
        <w:t>二、《</w:t>
      </w:r>
      <w:r>
        <w:rPr>
          <w:rFonts w:hint="eastAsia"/>
          <w:b/>
          <w:bCs/>
          <w:sz w:val="30"/>
          <w:szCs w:val="30"/>
        </w:rPr>
        <w:t>职业教育法》有关重点内容解读</w:t>
      </w:r>
    </w:p>
    <w:p>
      <w:pPr>
        <w:rPr>
          <w:rFonts w:hint="eastAsia"/>
          <w:sz w:val="30"/>
          <w:szCs w:val="30"/>
        </w:rPr>
      </w:pPr>
      <w:r>
        <w:rPr>
          <w:rFonts w:hint="eastAsia"/>
          <w:sz w:val="30"/>
          <w:szCs w:val="30"/>
          <w:lang w:eastAsia="zh-CN"/>
        </w:rPr>
        <w:t>　　</w:t>
      </w:r>
      <w:r>
        <w:rPr>
          <w:rFonts w:hint="eastAsia"/>
          <w:sz w:val="30"/>
          <w:szCs w:val="30"/>
        </w:rPr>
        <w:t>新修订的《职业教育法》结合我国经济社会快速发展的实际情况进行了修订完善，内容有很多创新和突破：</w:t>
      </w:r>
    </w:p>
    <w:p>
      <w:pPr>
        <w:rPr>
          <w:rFonts w:hint="eastAsia"/>
          <w:sz w:val="30"/>
          <w:szCs w:val="30"/>
        </w:rPr>
      </w:pPr>
      <w:r>
        <w:rPr>
          <w:rFonts w:hint="eastAsia"/>
          <w:sz w:val="30"/>
          <w:szCs w:val="30"/>
          <w:lang w:eastAsia="zh-CN"/>
        </w:rPr>
        <w:t>　　</w:t>
      </w:r>
      <w:r>
        <w:rPr>
          <w:rFonts w:hint="eastAsia"/>
          <w:sz w:val="30"/>
          <w:szCs w:val="30"/>
        </w:rPr>
        <w:t xml:space="preserve">1.首次将“职业教育高质量发展”写入法条。 第一条“为了推动职业教育高质量发展，提高劳动者素质和技术技能水平，促进就业创业，建设教育强国、人力资源强国和技能型社会，推进社会主义现代化建设，根据宪法，制定本法。” </w:t>
      </w:r>
    </w:p>
    <w:p>
      <w:pPr>
        <w:rPr>
          <w:rFonts w:hint="eastAsia"/>
          <w:sz w:val="30"/>
          <w:szCs w:val="30"/>
        </w:rPr>
      </w:pPr>
      <w:r>
        <w:rPr>
          <w:rFonts w:hint="eastAsia"/>
          <w:sz w:val="30"/>
          <w:szCs w:val="30"/>
          <w:lang w:eastAsia="zh-CN"/>
        </w:rPr>
        <w:t>　　</w:t>
      </w:r>
      <w:r>
        <w:rPr>
          <w:rFonts w:hint="eastAsia"/>
          <w:sz w:val="30"/>
          <w:szCs w:val="30"/>
          <w:lang w:val="en-US" w:eastAsia="zh-CN"/>
        </w:rPr>
        <w:t>2</w:t>
      </w:r>
      <w:r>
        <w:rPr>
          <w:rFonts w:hint="eastAsia"/>
          <w:sz w:val="30"/>
          <w:szCs w:val="30"/>
        </w:rPr>
        <w:t xml:space="preserve">.明确职业教育法律定义及范围。 第二条“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 </w:t>
      </w:r>
    </w:p>
    <w:p>
      <w:pPr>
        <w:rPr>
          <w:rFonts w:hint="eastAsia"/>
          <w:sz w:val="30"/>
          <w:szCs w:val="30"/>
        </w:rPr>
      </w:pPr>
      <w:r>
        <w:rPr>
          <w:rFonts w:hint="eastAsia"/>
          <w:sz w:val="30"/>
          <w:szCs w:val="30"/>
          <w:lang w:eastAsia="zh-CN"/>
        </w:rPr>
        <w:t>　　</w:t>
      </w:r>
      <w:r>
        <w:rPr>
          <w:rFonts w:hint="eastAsia"/>
          <w:sz w:val="30"/>
          <w:szCs w:val="30"/>
          <w:lang w:val="en-US" w:eastAsia="zh-CN"/>
        </w:rPr>
        <w:t>3</w:t>
      </w:r>
      <w:r>
        <w:rPr>
          <w:rFonts w:hint="eastAsia"/>
          <w:sz w:val="30"/>
          <w:szCs w:val="30"/>
        </w:rPr>
        <w:t xml:space="preserve">.确立职业教育类型教育的法律地位。 第三条“职业教育是与普通教育具有同等重要地位的教育类型，是国民教育体系和人力资源开发的重要组成部分，是培养多样化人才、传承技术技能、促进就业创业的重要途径。”。 </w:t>
      </w:r>
    </w:p>
    <w:p>
      <w:pPr>
        <w:rPr>
          <w:rFonts w:hint="eastAsia"/>
          <w:sz w:val="30"/>
          <w:szCs w:val="30"/>
        </w:rPr>
      </w:pPr>
      <w:r>
        <w:rPr>
          <w:rFonts w:hint="eastAsia"/>
          <w:sz w:val="30"/>
          <w:szCs w:val="30"/>
          <w:lang w:eastAsia="zh-CN"/>
        </w:rPr>
        <w:t>　　</w:t>
      </w:r>
      <w:r>
        <w:rPr>
          <w:rFonts w:hint="eastAsia"/>
          <w:sz w:val="30"/>
          <w:szCs w:val="30"/>
        </w:rPr>
        <w:t xml:space="preserve"> </w:t>
      </w:r>
      <w:r>
        <w:rPr>
          <w:rFonts w:hint="eastAsia"/>
          <w:sz w:val="30"/>
          <w:szCs w:val="30"/>
          <w:lang w:val="en-US" w:eastAsia="zh-CN"/>
        </w:rPr>
        <w:t>4.</w:t>
      </w:r>
      <w:r>
        <w:rPr>
          <w:rFonts w:hint="eastAsia"/>
          <w:sz w:val="30"/>
          <w:szCs w:val="30"/>
        </w:rPr>
        <w:t>深化产教融合。深化产教融合、校企合作是保障职业教育高质量发展的关键举措。新法推动全面融合，促进行业企业深度参与职业学校专业设置、教材开发、培养方案制定、质量评价、教师培养培训、实习实训基地建设全过程。鼓励深度融合，规定产教融合型企业制度、中国特色现代学徒制度，推动职业院校和行业企业形成命运共同体。</w:t>
      </w:r>
    </w:p>
    <w:p>
      <w:pPr>
        <w:rPr>
          <w:rFonts w:hint="eastAsia"/>
          <w:sz w:val="30"/>
          <w:szCs w:val="30"/>
        </w:rPr>
      </w:pPr>
      <w:r>
        <w:rPr>
          <w:rFonts w:hint="eastAsia"/>
          <w:sz w:val="30"/>
          <w:szCs w:val="30"/>
        </w:rPr>
        <w:t xml:space="preserve">   </w:t>
      </w:r>
      <w:r>
        <w:rPr>
          <w:rFonts w:hint="eastAsia"/>
          <w:sz w:val="30"/>
          <w:szCs w:val="30"/>
          <w:lang w:eastAsia="zh-CN"/>
        </w:rPr>
        <w:t>　</w:t>
      </w:r>
      <w:r>
        <w:rPr>
          <w:rFonts w:hint="eastAsia"/>
          <w:sz w:val="30"/>
          <w:szCs w:val="30"/>
          <w:lang w:val="en-US" w:eastAsia="zh-CN"/>
        </w:rPr>
        <w:t>5.</w:t>
      </w:r>
      <w:r>
        <w:rPr>
          <w:rFonts w:hint="eastAsia"/>
          <w:sz w:val="30"/>
          <w:szCs w:val="30"/>
        </w:rPr>
        <w:t xml:space="preserve">“实施职业教育应当弘扬社会主义核心价值观，对受教育者进行思想政治教育和职业道德教育，培育劳模精神、劳动精神、工匠精神，传授科学文化与专业知识，培养技术技能，进行职业指导，全面提高受教育者的素质。” </w:t>
      </w:r>
    </w:p>
    <w:p>
      <w:pPr>
        <w:rPr>
          <w:rFonts w:hint="eastAsia"/>
          <w:sz w:val="30"/>
          <w:szCs w:val="30"/>
        </w:rPr>
      </w:pPr>
      <w:r>
        <w:rPr>
          <w:rFonts w:hint="eastAsia"/>
          <w:sz w:val="30"/>
          <w:szCs w:val="30"/>
          <w:lang w:eastAsia="zh-CN"/>
        </w:rPr>
        <w:t>　　</w:t>
      </w:r>
      <w:r>
        <w:rPr>
          <w:rFonts w:hint="eastAsia"/>
          <w:sz w:val="30"/>
          <w:szCs w:val="30"/>
          <w:lang w:val="en-US" w:eastAsia="zh-CN"/>
        </w:rPr>
        <w:t>6</w:t>
      </w:r>
      <w:r>
        <w:rPr>
          <w:rFonts w:hint="eastAsia"/>
          <w:sz w:val="30"/>
          <w:szCs w:val="30"/>
        </w:rPr>
        <w:t xml:space="preserve">.将“统筹协调全国职业教育”纳入法条。 第六条 “职业教育实行政府统筹、分级管理、地方为主、行业指导、校企合作、社会参与。”   第八条“国务院建立职业教育工作协调机制，统筹协调全国职业教育工作。国务院教育行政部门负责职业教育工作的统筹规划、综合协调、宏观管理。国务院教育行政部门、人力资源社会保障行政部门和其他有关部门在国务院规定的职责范围内，分别负责有关的职业教育工作。” </w:t>
      </w:r>
    </w:p>
    <w:p>
      <w:pPr>
        <w:rPr>
          <w:rFonts w:hint="eastAsia"/>
          <w:sz w:val="30"/>
          <w:szCs w:val="30"/>
        </w:rPr>
      </w:pPr>
      <w:r>
        <w:rPr>
          <w:rFonts w:hint="eastAsia"/>
          <w:sz w:val="30"/>
          <w:szCs w:val="30"/>
        </w:rPr>
        <w:t xml:space="preserve"> </w:t>
      </w:r>
      <w:r>
        <w:rPr>
          <w:rFonts w:hint="eastAsia"/>
          <w:sz w:val="30"/>
          <w:szCs w:val="30"/>
          <w:lang w:eastAsia="zh-CN"/>
        </w:rPr>
        <w:t>　　</w:t>
      </w:r>
      <w:r>
        <w:rPr>
          <w:rFonts w:hint="eastAsia"/>
          <w:sz w:val="30"/>
          <w:szCs w:val="30"/>
          <w:lang w:val="en-US" w:eastAsia="zh-CN"/>
        </w:rPr>
        <w:t>7</w:t>
      </w:r>
      <w:r>
        <w:rPr>
          <w:rFonts w:hint="eastAsia"/>
          <w:sz w:val="30"/>
          <w:szCs w:val="30"/>
        </w:rPr>
        <w:t xml:space="preserve">.将群团组织机构写入法条。 第九条“有关行业主管部门、工会和中华职业教育社等群团组织、行业组织、企业、事业单位等应当依法履行实施职业教育的义务，参与、支持或者开展职业教育。” </w:t>
      </w:r>
    </w:p>
    <w:p>
      <w:pPr>
        <w:rPr>
          <w:rFonts w:hint="eastAsia"/>
          <w:sz w:val="30"/>
          <w:szCs w:val="30"/>
        </w:rPr>
      </w:pPr>
      <w:r>
        <w:rPr>
          <w:rFonts w:hint="eastAsia"/>
          <w:sz w:val="30"/>
          <w:szCs w:val="30"/>
        </w:rPr>
        <w:t xml:space="preserve">   </w:t>
      </w:r>
      <w:r>
        <w:rPr>
          <w:rFonts w:hint="eastAsia"/>
          <w:sz w:val="30"/>
          <w:szCs w:val="30"/>
          <w:lang w:eastAsia="zh-CN"/>
        </w:rPr>
        <w:t>　</w:t>
      </w:r>
      <w:r>
        <w:rPr>
          <w:rFonts w:hint="eastAsia"/>
          <w:sz w:val="30"/>
          <w:szCs w:val="30"/>
          <w:lang w:val="en-US" w:eastAsia="zh-CN"/>
        </w:rPr>
        <w:t>8.</w:t>
      </w:r>
      <w:r>
        <w:rPr>
          <w:rFonts w:hint="eastAsia"/>
          <w:sz w:val="30"/>
          <w:szCs w:val="30"/>
        </w:rPr>
        <w:t xml:space="preserve">县级以上人民政府应当加强职业教育实习实训基地建设，建设高水平、专业化、开放共享的产教融合实习实训基地，为职业学校、职业培训机构开展实习实训和企业开展培训提供条件和支持。 </w:t>
      </w:r>
    </w:p>
    <w:p>
      <w:pPr>
        <w:rPr>
          <w:rFonts w:hint="eastAsia"/>
          <w:sz w:val="30"/>
          <w:szCs w:val="30"/>
        </w:rPr>
      </w:pPr>
      <w:r>
        <w:rPr>
          <w:rFonts w:hint="eastAsia"/>
          <w:sz w:val="30"/>
          <w:szCs w:val="30"/>
          <w:lang w:eastAsia="zh-CN"/>
        </w:rPr>
        <w:t>　　</w:t>
      </w:r>
      <w:r>
        <w:rPr>
          <w:rFonts w:hint="eastAsia"/>
          <w:sz w:val="30"/>
          <w:szCs w:val="30"/>
          <w:lang w:val="en-US" w:eastAsia="zh-CN"/>
        </w:rPr>
        <w:t>9.</w:t>
      </w:r>
      <w:r>
        <w:rPr>
          <w:rFonts w:hint="eastAsia"/>
          <w:sz w:val="30"/>
          <w:szCs w:val="30"/>
        </w:rPr>
        <w:t xml:space="preserve">明确“现代职业教育体系”内涵。 第十四条“国家建立健全适应经济社会发展需要，产教深度融合，职业学校教育和职业培训并重，职业教育与普通教育相互融通，不同层次职业教育有效贯通，服务全民终身学习的现代职业教育体系。国家优化教育结构，科学配置教育资源，在义务教育后的不同阶段因地制宜、统筹推进职业教育与普通教育协调发展。” </w:t>
      </w:r>
    </w:p>
    <w:p>
      <w:pPr>
        <w:rPr>
          <w:rFonts w:hint="eastAsia"/>
          <w:sz w:val="30"/>
          <w:szCs w:val="30"/>
        </w:rPr>
      </w:pPr>
      <w:r>
        <w:rPr>
          <w:rFonts w:hint="eastAsia"/>
          <w:sz w:val="30"/>
          <w:szCs w:val="30"/>
          <w:lang w:val="en-US" w:eastAsia="zh-CN"/>
        </w:rPr>
        <w:t>　　10</w:t>
      </w:r>
      <w:r>
        <w:rPr>
          <w:rFonts w:hint="eastAsia"/>
          <w:sz w:val="30"/>
          <w:szCs w:val="30"/>
        </w:rPr>
        <w:t>.提出“提高技术技能人才待遇”</w:t>
      </w:r>
      <w:r>
        <w:rPr>
          <w:rFonts w:hint="eastAsia"/>
          <w:sz w:val="30"/>
          <w:szCs w:val="30"/>
          <w:lang w:eastAsia="zh-CN"/>
        </w:rPr>
        <w:t>，</w:t>
      </w:r>
      <w:r>
        <w:rPr>
          <w:rFonts w:hint="eastAsia"/>
          <w:sz w:val="30"/>
          <w:szCs w:val="30"/>
        </w:rPr>
        <w:t xml:space="preserve">职教周入法。 第十二条“国家采取措施，提高技术技能人才的社会地位和待遇，弘扬劳动光荣、技能宝贵、创造伟大的时代风尚。国家对在职业教育工作中做出显著成绩的单位和个人按照有关规定给予表彰、奖励。每年5月的第二周为职业教育活动周。” </w:t>
      </w:r>
    </w:p>
    <w:p>
      <w:pPr>
        <w:rPr>
          <w:rFonts w:hint="eastAsia"/>
          <w:sz w:val="30"/>
          <w:szCs w:val="30"/>
        </w:rPr>
      </w:pPr>
      <w:r>
        <w:rPr>
          <w:rFonts w:hint="eastAsia"/>
          <w:sz w:val="30"/>
          <w:szCs w:val="30"/>
        </w:rPr>
        <w:t xml:space="preserve">     1</w:t>
      </w:r>
      <w:r>
        <w:rPr>
          <w:rFonts w:hint="eastAsia"/>
          <w:sz w:val="30"/>
          <w:szCs w:val="30"/>
          <w:lang w:val="en-US" w:eastAsia="zh-CN"/>
        </w:rPr>
        <w:t>1</w:t>
      </w:r>
      <w:r>
        <w:rPr>
          <w:rFonts w:hint="eastAsia"/>
          <w:sz w:val="30"/>
          <w:szCs w:val="30"/>
        </w:rPr>
        <w:t xml:space="preserve">.明确高等职业学校教育内涵包括“本科及以上”。 第十五条“职业学校教育分为中等职业学校教育、高等职业学校教育。中等职业学校教育由高级中等教育层次的中等职业学校（含技工学校）实施。高等职业学校教育由专科、本科及以上教育层次的高等职业学校和普通高等学校实施。根据高等职业学校设置制度规定，将符合条件的技师学院纳入高等职业学校序列。” </w:t>
      </w:r>
    </w:p>
    <w:p>
      <w:pPr>
        <w:rPr>
          <w:rFonts w:hint="eastAsia"/>
          <w:sz w:val="30"/>
          <w:szCs w:val="30"/>
        </w:rPr>
      </w:pPr>
      <w:r>
        <w:rPr>
          <w:rFonts w:hint="eastAsia"/>
          <w:sz w:val="30"/>
          <w:szCs w:val="30"/>
        </w:rPr>
        <w:t xml:space="preserve"> </w:t>
      </w:r>
      <w:r>
        <w:rPr>
          <w:rFonts w:hint="eastAsia"/>
          <w:sz w:val="30"/>
          <w:szCs w:val="30"/>
          <w:lang w:eastAsia="zh-CN"/>
        </w:rPr>
        <w:t>　　</w:t>
      </w:r>
      <w:r>
        <w:rPr>
          <w:rFonts w:hint="eastAsia"/>
          <w:sz w:val="30"/>
          <w:szCs w:val="30"/>
        </w:rPr>
        <w:t>1</w:t>
      </w:r>
      <w:r>
        <w:rPr>
          <w:rFonts w:hint="eastAsia"/>
          <w:sz w:val="30"/>
          <w:szCs w:val="30"/>
          <w:lang w:val="en-US" w:eastAsia="zh-CN"/>
        </w:rPr>
        <w:t>2</w:t>
      </w:r>
      <w:r>
        <w:rPr>
          <w:rFonts w:hint="eastAsia"/>
          <w:sz w:val="30"/>
          <w:szCs w:val="30"/>
        </w:rPr>
        <w:t xml:space="preserve">.将资历融通写入法，提出国家资历框架雏形。第十七条“国家建立健全各级各类学校教育与职业培训学分、资历以及其他学习成果的认证、积累和转换机制，推进职业教育国家学分银行建设，促进职业教育与普通教育的学习成果融通、互认。” </w:t>
      </w:r>
    </w:p>
    <w:p>
      <w:pPr>
        <w:rPr>
          <w:rFonts w:hint="eastAsia"/>
          <w:sz w:val="30"/>
          <w:szCs w:val="30"/>
        </w:rPr>
      </w:pPr>
      <w:r>
        <w:rPr>
          <w:rFonts w:hint="eastAsia"/>
          <w:sz w:val="30"/>
          <w:szCs w:val="30"/>
          <w:lang w:eastAsia="zh-CN"/>
        </w:rPr>
        <w:t>　　</w:t>
      </w:r>
      <w:r>
        <w:rPr>
          <w:rFonts w:hint="eastAsia"/>
          <w:sz w:val="30"/>
          <w:szCs w:val="30"/>
        </w:rPr>
        <w:t>1</w:t>
      </w:r>
      <w:r>
        <w:rPr>
          <w:rFonts w:hint="eastAsia"/>
          <w:sz w:val="30"/>
          <w:szCs w:val="30"/>
          <w:lang w:val="en-US" w:eastAsia="zh-CN"/>
        </w:rPr>
        <w:t>3</w:t>
      </w:r>
      <w:r>
        <w:rPr>
          <w:rFonts w:hint="eastAsia"/>
          <w:sz w:val="30"/>
          <w:szCs w:val="30"/>
        </w:rPr>
        <w:t>.明确“推行中国特色学徒制”。第三十条“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企业与职业学校联合招收学生，以工学结合的方式进行学徒培养的，应当签订学徒培养协议。</w:t>
      </w:r>
    </w:p>
    <w:p>
      <w:pPr>
        <w:rPr>
          <w:rFonts w:hint="eastAsia"/>
          <w:sz w:val="30"/>
          <w:szCs w:val="30"/>
        </w:rPr>
      </w:pPr>
      <w:r>
        <w:rPr>
          <w:rFonts w:hint="eastAsia"/>
          <w:sz w:val="30"/>
          <w:szCs w:val="30"/>
        </w:rPr>
        <w:t xml:space="preserve"> </w:t>
      </w:r>
      <w:r>
        <w:rPr>
          <w:rFonts w:hint="eastAsia"/>
          <w:sz w:val="30"/>
          <w:szCs w:val="30"/>
          <w:lang w:eastAsia="zh-CN"/>
        </w:rPr>
        <w:t>　　</w:t>
      </w:r>
      <w:r>
        <w:rPr>
          <w:rFonts w:hint="eastAsia"/>
          <w:sz w:val="30"/>
          <w:szCs w:val="30"/>
          <w:lang w:val="en-US" w:eastAsia="zh-CN"/>
        </w:rPr>
        <w:t>14</w:t>
      </w:r>
      <w:r>
        <w:rPr>
          <w:rFonts w:hint="eastAsia"/>
          <w:sz w:val="30"/>
          <w:szCs w:val="30"/>
        </w:rPr>
        <w:t xml:space="preserve">.对特定行业、职业、专业优先发展。服务乡村振兴等国家战略。 第十条“国家采取措施，支持举办面向农村的职业教育，组织开展农业技能培训、返乡创业就业培训和职业技能培训，培养高素质乡村振兴人才。国家采取措施，扶持革命老区、民族地区、边远地区、欠发达地区职业教育的发展。国家采取措施，组织各类转岗、再就业、失业人员以及特殊人群等接受各种形式的职业教育，扶持残疾人职业教育的发展。国家保障妇女平等接受职业教育的权利。” 第二十一条 “国家根据产业布局和行业发展需要，采取措施，大力发展先进制造等产业需要的新兴专业，支持高水平职业学校、专业建设。国家采取措施，加快培养托育、护理、康养、家政等方面技术技能人才。” </w:t>
      </w:r>
    </w:p>
    <w:p>
      <w:pPr>
        <w:rPr>
          <w:rFonts w:hint="eastAsia"/>
          <w:sz w:val="30"/>
          <w:szCs w:val="30"/>
        </w:rPr>
      </w:pPr>
      <w:r>
        <w:rPr>
          <w:rFonts w:hint="eastAsia"/>
          <w:sz w:val="30"/>
          <w:szCs w:val="30"/>
          <w:lang w:val="en-US" w:eastAsia="zh-CN"/>
        </w:rPr>
        <w:t>　　15</w:t>
      </w:r>
      <w:r>
        <w:rPr>
          <w:rFonts w:hint="eastAsia"/>
          <w:sz w:val="30"/>
          <w:szCs w:val="30"/>
        </w:rPr>
        <w:t xml:space="preserve">.提出“建立职业教育特点的招生考试制度”。 第三十七条“国家建立符合职业教育特点的考试招生制度。中等职业学校可以按照国家有关规定，在有关专业实行与高等职业学校教育的贯通招生和培养。高等职业学校可以按照国家有关规定，采取文化素质与职业技能相结合的考核方式招收学生；对有突出贡献的技术技能人才，经考核合格，可以破格录取。省级以上人民政府教育行政部门会同同级人民政府有关部门建立职业教育统一招生平台，汇总发布实施职业教育的学校及其专业设置、招生情况等信息，提供查询、报考等服务。” </w:t>
      </w:r>
    </w:p>
    <w:p>
      <w:pPr>
        <w:rPr>
          <w:rFonts w:hint="eastAsia"/>
          <w:sz w:val="30"/>
          <w:szCs w:val="30"/>
        </w:rPr>
      </w:pPr>
      <w:r>
        <w:rPr>
          <w:rFonts w:hint="eastAsia"/>
          <w:sz w:val="30"/>
          <w:szCs w:val="30"/>
          <w:lang w:val="en-US" w:eastAsia="zh-CN"/>
        </w:rPr>
        <w:t>　　16</w:t>
      </w:r>
      <w:r>
        <w:rPr>
          <w:rFonts w:hint="eastAsia"/>
          <w:sz w:val="30"/>
          <w:szCs w:val="30"/>
        </w:rPr>
        <w:t xml:space="preserve">.确定“建立健全职业教育质量评价制度”。突出就业导向。 </w:t>
      </w:r>
    </w:p>
    <w:p>
      <w:pPr>
        <w:rPr>
          <w:rFonts w:hint="eastAsia"/>
          <w:sz w:val="30"/>
          <w:szCs w:val="30"/>
        </w:rPr>
      </w:pPr>
      <w:r>
        <w:rPr>
          <w:rFonts w:hint="eastAsia"/>
          <w:sz w:val="30"/>
          <w:szCs w:val="30"/>
        </w:rPr>
        <w:t xml:space="preserve">第四十三条“职业学校、职业培训机构应当建立健全教育质量评价制度，吸纳行业组织、企业等参与评价，并及时公开相关信息，接受教育督导和社会监督。县级以上人民政府教育行政部门应当会同有关部门、行业组织建立符合职业教育特点的质量评价体系，组织或者委托行业组织、企业和第三方专业机构，对职业学校的办学质量进行评估，并将评估结果及时公开。职业教育质量评价应当突出就业导向，把受教育者的职业道德、技术技能水平、就业质量作为重要指标，引导职业学校培养高素质技术技能人才。有关部门应当按照各自职责，加强对职业学校、职业培训机构的监督管理。” </w:t>
      </w:r>
    </w:p>
    <w:p>
      <w:pPr>
        <w:rPr>
          <w:rFonts w:hint="eastAsia"/>
          <w:sz w:val="30"/>
          <w:szCs w:val="30"/>
        </w:rPr>
      </w:pPr>
      <w:r>
        <w:rPr>
          <w:rFonts w:hint="eastAsia"/>
          <w:sz w:val="30"/>
          <w:szCs w:val="30"/>
          <w:lang w:eastAsia="zh-CN"/>
        </w:rPr>
        <w:t>　　</w:t>
      </w:r>
      <w:r>
        <w:rPr>
          <w:rFonts w:hint="eastAsia"/>
          <w:sz w:val="30"/>
          <w:szCs w:val="30"/>
        </w:rPr>
        <w:t>1</w:t>
      </w:r>
      <w:r>
        <w:rPr>
          <w:rFonts w:hint="eastAsia"/>
          <w:sz w:val="30"/>
          <w:szCs w:val="30"/>
          <w:lang w:val="en-US" w:eastAsia="zh-CN"/>
        </w:rPr>
        <w:t>7</w:t>
      </w:r>
      <w:r>
        <w:rPr>
          <w:rFonts w:hint="eastAsia"/>
          <w:sz w:val="30"/>
          <w:szCs w:val="30"/>
        </w:rPr>
        <w:t>.提出建立健全具有职业教育特点的教师管理制度。第四十六条“国家建立健全符合职业教育特点和发展要求的职业学校教师岗位设置和职务（职称）评聘制度。职业学校的专业课教师（含实习指导教师）应当具有一定年限的相应工作经历或者实践经验，达到相应的技术技能水平。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pPr>
        <w:rPr>
          <w:rFonts w:hint="eastAsia"/>
          <w:sz w:val="30"/>
          <w:szCs w:val="30"/>
        </w:rPr>
      </w:pPr>
      <w:r>
        <w:rPr>
          <w:rFonts w:hint="eastAsia"/>
          <w:sz w:val="30"/>
          <w:szCs w:val="30"/>
          <w:lang w:eastAsia="zh-CN"/>
        </w:rPr>
        <w:t>　　</w:t>
      </w:r>
      <w:r>
        <w:rPr>
          <w:rFonts w:hint="eastAsia"/>
          <w:sz w:val="30"/>
          <w:szCs w:val="30"/>
        </w:rPr>
        <w:t>1</w:t>
      </w:r>
      <w:r>
        <w:rPr>
          <w:rFonts w:hint="eastAsia"/>
          <w:sz w:val="30"/>
          <w:szCs w:val="30"/>
          <w:lang w:val="en-US" w:eastAsia="zh-CN"/>
        </w:rPr>
        <w:t>8</w:t>
      </w:r>
      <w:r>
        <w:rPr>
          <w:rFonts w:hint="eastAsia"/>
          <w:sz w:val="30"/>
          <w:szCs w:val="30"/>
        </w:rPr>
        <w:t>.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pPr>
        <w:rPr>
          <w:rFonts w:hint="eastAsia"/>
          <w:b/>
          <w:bCs/>
          <w:sz w:val="30"/>
          <w:szCs w:val="30"/>
        </w:rPr>
      </w:pPr>
      <w:r>
        <w:rPr>
          <w:rFonts w:hint="eastAsia"/>
          <w:sz w:val="30"/>
          <w:szCs w:val="30"/>
          <w:lang w:eastAsia="zh-CN"/>
        </w:rPr>
        <w:t>　　</w:t>
      </w:r>
      <w:r>
        <w:rPr>
          <w:rFonts w:hint="eastAsia"/>
          <w:b/>
          <w:bCs/>
          <w:sz w:val="30"/>
          <w:szCs w:val="30"/>
        </w:rPr>
        <w:t>三、  结合县情实际，如何贯彻落实《职业教育法》</w:t>
      </w:r>
    </w:p>
    <w:p>
      <w:pPr>
        <w:rPr>
          <w:rFonts w:hint="eastAsia" w:ascii="楷体" w:hAnsi="楷体" w:eastAsia="楷体" w:cs="楷体"/>
          <w:sz w:val="30"/>
          <w:szCs w:val="30"/>
          <w:lang w:eastAsia="zh-CN"/>
        </w:rPr>
      </w:pPr>
      <w:r>
        <w:rPr>
          <w:rFonts w:hint="eastAsia"/>
          <w:sz w:val="30"/>
          <w:szCs w:val="30"/>
          <w:lang w:eastAsia="zh-CN"/>
        </w:rPr>
        <w:t>　　</w:t>
      </w:r>
      <w:r>
        <w:rPr>
          <w:rFonts w:hint="eastAsia" w:ascii="楷体" w:hAnsi="楷体" w:eastAsia="楷体" w:cs="楷体"/>
          <w:sz w:val="30"/>
          <w:szCs w:val="30"/>
        </w:rPr>
        <w:t>1.改善办学条件支持，提高职业教育办学质量</w:t>
      </w:r>
      <w:r>
        <w:rPr>
          <w:rFonts w:hint="eastAsia" w:ascii="楷体" w:hAnsi="楷体" w:eastAsia="楷体" w:cs="楷体"/>
          <w:sz w:val="30"/>
          <w:szCs w:val="30"/>
          <w:lang w:eastAsia="zh-CN"/>
        </w:rPr>
        <w:t>；</w:t>
      </w:r>
    </w:p>
    <w:p>
      <w:pPr>
        <w:rPr>
          <w:rFonts w:hint="eastAsia" w:ascii="楷体" w:hAnsi="楷体" w:eastAsia="楷体" w:cs="楷体"/>
          <w:sz w:val="30"/>
          <w:szCs w:val="30"/>
          <w:lang w:eastAsia="zh-CN"/>
        </w:rPr>
      </w:pPr>
      <w:r>
        <w:rPr>
          <w:rFonts w:hint="eastAsia" w:ascii="楷体" w:hAnsi="楷体" w:eastAsia="楷体" w:cs="楷体"/>
          <w:sz w:val="30"/>
          <w:szCs w:val="30"/>
          <w:lang w:eastAsia="zh-CN"/>
        </w:rPr>
        <w:t>　　</w:t>
      </w:r>
      <w:r>
        <w:rPr>
          <w:rFonts w:hint="eastAsia" w:ascii="楷体" w:hAnsi="楷体" w:eastAsia="楷体" w:cs="楷体"/>
          <w:sz w:val="30"/>
          <w:szCs w:val="30"/>
        </w:rPr>
        <w:t>2.产教融合支持，提高人才培养质量</w:t>
      </w:r>
      <w:r>
        <w:rPr>
          <w:rFonts w:hint="eastAsia" w:ascii="楷体" w:hAnsi="楷体" w:eastAsia="楷体" w:cs="楷体"/>
          <w:sz w:val="30"/>
          <w:szCs w:val="30"/>
          <w:lang w:eastAsia="zh-CN"/>
        </w:rPr>
        <w:t>；</w:t>
      </w:r>
    </w:p>
    <w:p>
      <w:pPr>
        <w:rPr>
          <w:rFonts w:hint="eastAsia" w:ascii="楷体" w:hAnsi="楷体" w:eastAsia="楷体" w:cs="楷体"/>
          <w:sz w:val="30"/>
          <w:szCs w:val="30"/>
          <w:lang w:eastAsia="zh-CN"/>
        </w:rPr>
      </w:pPr>
      <w:r>
        <w:rPr>
          <w:rFonts w:hint="eastAsia" w:ascii="楷体" w:hAnsi="楷体" w:eastAsia="楷体" w:cs="楷体"/>
          <w:sz w:val="30"/>
          <w:szCs w:val="30"/>
          <w:lang w:eastAsia="zh-CN"/>
        </w:rPr>
        <w:t>　　</w:t>
      </w:r>
      <w:r>
        <w:rPr>
          <w:rFonts w:hint="eastAsia" w:ascii="楷体" w:hAnsi="楷体" w:eastAsia="楷体" w:cs="楷体"/>
          <w:sz w:val="30"/>
          <w:szCs w:val="30"/>
        </w:rPr>
        <w:t>3.中职招生支持，提高中职招生数量和质量</w:t>
      </w:r>
      <w:r>
        <w:rPr>
          <w:rFonts w:hint="eastAsia" w:ascii="楷体" w:hAnsi="楷体" w:eastAsia="楷体" w:cs="楷体"/>
          <w:sz w:val="30"/>
          <w:szCs w:val="30"/>
          <w:lang w:eastAsia="zh-CN"/>
        </w:rPr>
        <w:t>；</w:t>
      </w:r>
    </w:p>
    <w:p>
      <w:pPr>
        <w:rPr>
          <w:rFonts w:hint="eastAsia" w:ascii="楷体" w:hAnsi="楷体" w:eastAsia="楷体" w:cs="楷体"/>
          <w:sz w:val="30"/>
          <w:szCs w:val="30"/>
          <w:lang w:eastAsia="zh-CN"/>
        </w:rPr>
      </w:pPr>
      <w:r>
        <w:rPr>
          <w:rFonts w:hint="eastAsia" w:ascii="楷体" w:hAnsi="楷体" w:eastAsia="楷体" w:cs="楷体"/>
          <w:sz w:val="30"/>
          <w:szCs w:val="30"/>
          <w:lang w:eastAsia="zh-CN"/>
        </w:rPr>
        <w:t>　　</w:t>
      </w:r>
      <w:r>
        <w:rPr>
          <w:rFonts w:hint="eastAsia" w:ascii="楷体" w:hAnsi="楷体" w:eastAsia="楷体" w:cs="楷体"/>
          <w:sz w:val="30"/>
          <w:szCs w:val="30"/>
        </w:rPr>
        <w:t>4.专业师资队伍建设支持，适应市场对人才需求</w:t>
      </w:r>
      <w:r>
        <w:rPr>
          <w:rFonts w:hint="eastAsia" w:ascii="楷体" w:hAnsi="楷体" w:eastAsia="楷体" w:cs="楷体"/>
          <w:sz w:val="30"/>
          <w:szCs w:val="30"/>
          <w:lang w:eastAsia="zh-CN"/>
        </w:rPr>
        <w:t>；</w:t>
      </w:r>
    </w:p>
    <w:p>
      <w:pPr>
        <w:ind w:firstLine="600"/>
        <w:rPr>
          <w:rFonts w:hint="eastAsia" w:ascii="楷体" w:hAnsi="楷体" w:eastAsia="楷体" w:cs="楷体"/>
          <w:sz w:val="30"/>
          <w:szCs w:val="30"/>
          <w:lang w:eastAsia="zh-CN"/>
        </w:rPr>
      </w:pPr>
      <w:r>
        <w:rPr>
          <w:rFonts w:hint="eastAsia" w:ascii="楷体" w:hAnsi="楷体" w:eastAsia="楷体" w:cs="楷体"/>
          <w:sz w:val="30"/>
          <w:szCs w:val="30"/>
        </w:rPr>
        <w:t>5. 经费支持，切实为职业学校提供保障条件</w:t>
      </w:r>
      <w:r>
        <w:rPr>
          <w:rFonts w:hint="eastAsia" w:ascii="楷体" w:hAnsi="楷体" w:eastAsia="楷体" w:cs="楷体"/>
          <w:sz w:val="30"/>
          <w:szCs w:val="30"/>
          <w:lang w:eastAsia="zh-CN"/>
        </w:rPr>
        <w:t>。</w:t>
      </w:r>
    </w:p>
    <w:p>
      <w:pPr>
        <w:ind w:firstLine="600"/>
        <w:rPr>
          <w:rFonts w:hint="eastAsia" w:ascii="楷体" w:hAnsi="楷体" w:eastAsia="楷体" w:cs="楷体"/>
          <w:sz w:val="44"/>
          <w:szCs w:val="44"/>
          <w:lang w:eastAsia="zh-CN"/>
        </w:rPr>
      </w:pPr>
      <w:r>
        <w:rPr>
          <w:rFonts w:hint="eastAsia" w:ascii="楷体" w:hAnsi="楷体" w:eastAsia="楷体" w:cs="楷体"/>
          <w:sz w:val="44"/>
          <w:szCs w:val="44"/>
          <w:lang w:eastAsia="zh-CN"/>
        </w:rPr>
        <w:t>《中华人民共和国食品安全法》解读提纲</w:t>
      </w:r>
    </w:p>
    <w:p>
      <w:pPr>
        <w:jc w:val="center"/>
        <w:rPr>
          <w:rFonts w:hint="eastAsia" w:ascii="楷体" w:hAnsi="楷体" w:eastAsia="楷体" w:cs="楷体"/>
          <w:sz w:val="30"/>
          <w:szCs w:val="30"/>
          <w:lang w:eastAsia="zh-CN"/>
        </w:rPr>
      </w:pPr>
      <w:r>
        <w:rPr>
          <w:rFonts w:hint="eastAsia" w:ascii="楷体" w:hAnsi="楷体" w:eastAsia="楷体" w:cs="楷体"/>
          <w:sz w:val="30"/>
          <w:szCs w:val="30"/>
          <w:lang w:eastAsia="zh-CN"/>
        </w:rPr>
        <w:t>霍邱县市场监督管理局局长    刘学昌</w:t>
      </w:r>
    </w:p>
    <w:p>
      <w:pPr>
        <w:ind w:firstLine="600"/>
        <w:rPr>
          <w:rFonts w:hint="eastAsia" w:ascii="楷体" w:hAnsi="楷体" w:eastAsia="楷体" w:cs="楷体"/>
          <w:sz w:val="30"/>
          <w:szCs w:val="30"/>
          <w:lang w:eastAsia="zh-CN"/>
        </w:rPr>
      </w:pPr>
      <w:r>
        <w:rPr>
          <w:rFonts w:hint="eastAsia" w:ascii="仿宋" w:hAnsi="仿宋" w:eastAsia="仿宋" w:cs="仿宋"/>
          <w:b/>
          <w:bCs/>
          <w:sz w:val="30"/>
          <w:szCs w:val="30"/>
          <w:lang w:eastAsia="zh-CN"/>
        </w:rPr>
        <w:t>一、《食品安全法》概况</w:t>
      </w:r>
      <w:r>
        <w:rPr>
          <w:rFonts w:hint="eastAsia" w:ascii="楷体" w:hAnsi="楷体" w:eastAsia="楷体" w:cs="楷体"/>
          <w:sz w:val="30"/>
          <w:szCs w:val="30"/>
          <w:lang w:eastAsia="zh-CN"/>
        </w:rPr>
        <w:br w:type="textWrapping"/>
      </w:r>
      <w:r>
        <w:rPr>
          <w:rFonts w:hint="eastAsia" w:ascii="楷体" w:hAnsi="楷体" w:eastAsia="楷体" w:cs="楷体"/>
          <w:sz w:val="30"/>
          <w:szCs w:val="30"/>
          <w:lang w:eastAsia="zh-CN"/>
        </w:rPr>
        <w:t>　　（一） 《中华人民共和国食品安全法》制定修订历程</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①2009-02-28 中华人民共和国食品安全法</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②2015-04-24 中华人民共和国食品安全法(2015修订)</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③ 2018-12-29 中华人民共和国食品安全法(2018修正)</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④2021-04-29 中华人民共和国食品安全法(2021修正)</w:t>
      </w:r>
    </w:p>
    <w:p>
      <w:pPr>
        <w:ind w:firstLine="600"/>
        <w:rPr>
          <w:rFonts w:hint="eastAsia" w:ascii="楷体" w:hAnsi="楷体" w:eastAsia="楷体" w:cs="楷体"/>
          <w:sz w:val="30"/>
          <w:szCs w:val="30"/>
          <w:lang w:eastAsia="zh-CN"/>
        </w:rPr>
      </w:pPr>
      <w:r>
        <w:rPr>
          <w:rFonts w:hint="eastAsia" w:ascii="楷体" w:hAnsi="楷体" w:eastAsia="楷体" w:cs="楷体"/>
          <w:sz w:val="30"/>
          <w:szCs w:val="30"/>
          <w:lang w:eastAsia="zh-CN"/>
        </w:rPr>
        <w:t>（二）  食品安全法目录及简介</w:t>
      </w:r>
    </w:p>
    <w:p>
      <w:pPr>
        <w:ind w:firstLine="600"/>
        <w:rPr>
          <w:rFonts w:hint="eastAsia" w:ascii="楷体" w:hAnsi="楷体" w:eastAsia="楷体" w:cs="楷体"/>
          <w:sz w:val="30"/>
          <w:szCs w:val="30"/>
          <w:lang w:eastAsia="zh-CN"/>
        </w:rPr>
      </w:pPr>
      <w:r>
        <w:rPr>
          <w:rFonts w:hint="eastAsia" w:ascii="楷体" w:hAnsi="楷体" w:eastAsia="楷体" w:cs="楷体"/>
          <w:sz w:val="30"/>
          <w:szCs w:val="30"/>
          <w:lang w:eastAsia="zh-CN"/>
        </w:rPr>
        <w:t>（三）  食品、食品安全的概念</w:t>
      </w:r>
    </w:p>
    <w:p>
      <w:pPr>
        <w:ind w:firstLine="600"/>
        <w:rPr>
          <w:rFonts w:hint="eastAsia" w:ascii="仿宋" w:hAnsi="仿宋" w:eastAsia="仿宋" w:cs="仿宋"/>
          <w:sz w:val="30"/>
          <w:szCs w:val="30"/>
          <w:lang w:eastAsia="zh-CN"/>
        </w:rPr>
      </w:pPr>
      <w:r>
        <w:rPr>
          <w:rFonts w:hint="eastAsia" w:ascii="楷体" w:hAnsi="楷体" w:eastAsia="楷体" w:cs="楷体"/>
          <w:sz w:val="30"/>
          <w:szCs w:val="30"/>
          <w:lang w:eastAsia="zh-CN"/>
        </w:rPr>
        <w:t>第</w:t>
      </w:r>
      <w:r>
        <w:rPr>
          <w:rFonts w:hint="eastAsia" w:ascii="仿宋" w:hAnsi="仿宋" w:eastAsia="仿宋" w:cs="仿宋"/>
          <w:sz w:val="30"/>
          <w:szCs w:val="30"/>
          <w:lang w:eastAsia="zh-CN"/>
        </w:rPr>
        <w:t>十章附则第一百五十条规定，本法下列用语的含义：</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食品，指各种供人食用或者饮用的成品和原料以及按照传统既是食品又是中药材的物品，但是不包括以治疗为目的的物品。</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食品安全，指食品无毒、无害，符合应当有的营养要求，对人体健康不造成任何急性、亚急性或者慢性危害。</w:t>
      </w:r>
    </w:p>
    <w:p>
      <w:pPr>
        <w:numPr>
          <w:ilvl w:val="0"/>
          <w:numId w:val="2"/>
        </w:numPr>
        <w:ind w:left="600" w:leftChars="0" w:firstLine="0" w:firstLineChars="0"/>
        <w:rPr>
          <w:rFonts w:hint="eastAsia" w:ascii="楷体" w:hAnsi="楷体" w:eastAsia="楷体" w:cs="楷体"/>
          <w:sz w:val="30"/>
          <w:szCs w:val="30"/>
          <w:lang w:eastAsia="zh-CN"/>
        </w:rPr>
      </w:pPr>
      <w:r>
        <w:rPr>
          <w:rFonts w:hint="eastAsia" w:ascii="楷体" w:hAnsi="楷体" w:eastAsia="楷体" w:cs="楷体"/>
          <w:sz w:val="30"/>
          <w:szCs w:val="30"/>
          <w:lang w:eastAsia="zh-CN"/>
        </w:rPr>
        <w:t xml:space="preserve"> 食品安全法的适用范围</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第一章总则第二条规定：</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在中华人民共和国境内从事下列活动，应当遵守本法：</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一)食品生产和加工(以下称食品生产)，食品销售和餐饮服务(以下称食品经营);(二)食品添加剂的生产经营;(三)用于食品的包装材料、容器、洗涤剂、消毒剂和用于食品生产经营的工具、设备(以下称食品相关产品)的生产经营; (四)食品生产经营者使用食品添加剂、食品相关产品;(五)食品的贮存和运输;(六)对食品、食品添加剂、食品相关产品的安全管理。</w:t>
      </w:r>
    </w:p>
    <w:p>
      <w:pPr>
        <w:numPr>
          <w:ilvl w:val="0"/>
          <w:numId w:val="0"/>
        </w:numPr>
        <w:rPr>
          <w:rFonts w:hint="eastAsia" w:ascii="楷体" w:hAnsi="楷体" w:eastAsia="楷体" w:cs="楷体"/>
          <w:sz w:val="30"/>
          <w:szCs w:val="30"/>
          <w:lang w:eastAsia="zh-CN"/>
        </w:rPr>
      </w:pPr>
      <w:r>
        <w:rPr>
          <w:rFonts w:hint="eastAsia" w:ascii="楷体" w:hAnsi="楷体" w:eastAsia="楷体" w:cs="楷体"/>
          <w:sz w:val="30"/>
          <w:szCs w:val="30"/>
          <w:lang w:eastAsia="zh-CN"/>
        </w:rPr>
        <w:t>　　（五）  新修订的食品安全法主要亮点</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（一）食品安全可全程追溯</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法律规定：食品生产经营者应当依照本法的规定，建立食品安全追溯体系，保证食品可追溯。国家鼓励食品生产经营企业采用信息化手段采集、留存生产经营信息，建立食品安全追溯体系。</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（二）添加剂不许可不得生产</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法律规定：国家对食品添加剂生产实行许可制度。从事食品添加剂生产，应当具有与所生产食品添加剂品种相适应的场所、生产设备或设施、专业技术人员和管理制度，并依法取得食品添加剂生产许可。</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（三）只要有危险食品就得召回</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法律规定：食品生产者发现生产的食品不符合安全标准或有证据证明可能危害人体健康的，应当立即停止生产，召回已经上市销售的食品，通知相关生产经营者和消费者……食药监部门认为必要的，可以实施现场监督。</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（四）剧毒、高毒农药有禁区</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法律规定：禁止将剧毒、高毒农药用于蔬菜、瓜果、茶叶和中草药材等国家规定的农作物。国家对农药的使用实行严格的管理制度，加快淘汰剧毒、高毒、高残留农药，推动替代产品的研发和应用，鼓励使用高效低毒低残留农药。</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（五）批发市场须抽查农产品</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法律规定：食用农产品批发市场应当配备检验设备和人员，或者委托食品检验机构，对进场销售的食用农产品抽样检验。进入市场销售的食用农产品在包装、运输等过程中使用保鲜剂、防腐剂等食品添加剂和包装材料，应当符合食品安全国家标准。</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（六）网上卖食品必须“实名制”</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法律规定：网络食品交易第三方平台提供者应当对入网食品经营者进行实名登记……消费者合法权益受损，可以向入网食品经营者或生产者要求赔偿。第三方平台提供者不能提供入网食品经营者真实名称、地址和有效联系方式的，由网络食品交易第三方平台提供者赔偿。</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（七）保健品不得宣称能当药吃</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法律规定：保健食品的标签、说明书不得涉及疾病预防、治疗功能，内容应当真实，与注册或备案的内容一致，载明适宜人群、不适宜人群、功效成分或标志性成分及其含量等，并声明“本品不能代替药物”。</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（八）婴儿乳粉配方必须注册</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法律规定：婴幼儿配方乳粉的产品配方应当经国务院食品药品监督管理部门注册。注册时，应当提交配方研发报告和其他表明配方科学性、安全性的材料。</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（九）举报食品违法将受保护</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法律规定：县级以上政府的食药、质监等部门应公布本部门电子邮件地址或电话，接受咨询、投诉、举报……有关部门应当对举报人的信息予以保密，保护举报人的合法权益。举报人举报所在企业的，该企业不得予以解除、变更劳动合同或以其他方式对举报人进行打击报复。</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（十）监管不到位责任人将“被辞职”</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法律规定：违反本法规定，县级以上食药、卫生、质监、农业等部门有下列行为之一的，对直接负责的主管人员和其他直接责任人员给予记大过处分；情节较重的，给予降级或撤职处分；情节严重的，给予开除处分；造成严重后果的，其主要负责人还应当引咎辞职；隐瞒、谎报、缓报食品安全事故；未按规定查处食品安全事故，或者接到食品安全事故报告未及时处理，造成事故扩大或蔓延；经食品安全风险评估得出食品、食品添加剂、食品相关产品不安全结论后，未及时采取相应措施，造成食品安全事故或不良社会影响……</w:t>
      </w:r>
    </w:p>
    <w:p>
      <w:pPr>
        <w:ind w:firstLine="600"/>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二、重点内容解读</w:t>
      </w:r>
    </w:p>
    <w:p>
      <w:pPr>
        <w:ind w:firstLine="600"/>
        <w:rPr>
          <w:rFonts w:hint="eastAsia" w:ascii="楷体" w:hAnsi="楷体" w:eastAsia="楷体" w:cs="楷体"/>
          <w:sz w:val="30"/>
          <w:szCs w:val="30"/>
          <w:lang w:eastAsia="zh-CN"/>
        </w:rPr>
      </w:pPr>
      <w:r>
        <w:rPr>
          <w:rFonts w:hint="eastAsia" w:ascii="楷体" w:hAnsi="楷体" w:eastAsia="楷体" w:cs="楷体"/>
          <w:sz w:val="30"/>
          <w:szCs w:val="30"/>
          <w:lang w:eastAsia="zh-CN"/>
        </w:rPr>
        <w:t>（一）、食品生产经营一般规定</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第三十三条　食品生产经营应当符合食品安全标准，并符合下列要求：</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具有与生产经营的食品品种、数量相适应的食品原料处理和食品加工、包装、贮存等场所，保持该场所环境整洁，并与有毒、有害场所以及其他污染源保持规定的距离;</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具有与生产经营的食品品种、数量相适应的生产经营设备或者设施，有相应的消毒、更衣、盥洗、采光、照明、通风、防腐、防尘、防蝇、防鼠、防虫、洗涤以及处理废水、存放垃圾和废弃物的设备或者设施;</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有专职或者兼职的食品安全专业技术人员、食品安全管理人员和保证食品安全的规章制度;</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具有合理的设备布局和工艺流程，防止待加工食品与直接入口食品、原料与成品交叉污染，避免食品接触有毒物、不洁物;</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餐具、饮具和盛放直接入口食品的容器，使用前应当洗净、消毒，炊具、用具用后应当洗净，保持清洁;</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val="en-US" w:eastAsia="zh-CN"/>
        </w:rPr>
        <w:t>6.</w:t>
      </w:r>
      <w:r>
        <w:rPr>
          <w:rFonts w:hint="eastAsia" w:ascii="仿宋" w:hAnsi="仿宋" w:eastAsia="仿宋" w:cs="仿宋"/>
          <w:sz w:val="30"/>
          <w:szCs w:val="30"/>
          <w:lang w:eastAsia="zh-CN"/>
        </w:rPr>
        <w:t>贮存、运输和装卸食品的容器、工具和设备应当安全、无害，保持清洁，防止食品污染，并符合保证食品安全所需的温度、湿度等特殊要求，不得将食品与有毒、有害物品一同贮存、运输;</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val="en-US" w:eastAsia="zh-CN"/>
        </w:rPr>
        <w:t>7.</w:t>
      </w:r>
      <w:r>
        <w:rPr>
          <w:rFonts w:hint="eastAsia" w:ascii="仿宋" w:hAnsi="仿宋" w:eastAsia="仿宋" w:cs="仿宋"/>
          <w:sz w:val="30"/>
          <w:szCs w:val="30"/>
          <w:lang w:eastAsia="zh-CN"/>
        </w:rPr>
        <w:t>直接入口的食品应当使用无毒、清洁的包装材料、餐具、饮具和容器;</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val="en-US" w:eastAsia="zh-CN"/>
        </w:rPr>
        <w:t>8.</w:t>
      </w:r>
      <w:r>
        <w:rPr>
          <w:rFonts w:hint="eastAsia" w:ascii="仿宋" w:hAnsi="仿宋" w:eastAsia="仿宋" w:cs="仿宋"/>
          <w:sz w:val="30"/>
          <w:szCs w:val="30"/>
          <w:lang w:eastAsia="zh-CN"/>
        </w:rPr>
        <w:t>食品生产经营人员应当保持个人卫生，生产经营食品时，应当将手洗净，穿戴清洁的工作衣、帽等;销售无包装的直接入口食品时，应当使用无毒、清洁的容器、售货工具和设备;</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val="en-US" w:eastAsia="zh-CN"/>
        </w:rPr>
        <w:t>9.</w:t>
      </w:r>
      <w:r>
        <w:rPr>
          <w:rFonts w:hint="eastAsia" w:ascii="仿宋" w:hAnsi="仿宋" w:eastAsia="仿宋" w:cs="仿宋"/>
          <w:sz w:val="30"/>
          <w:szCs w:val="30"/>
          <w:lang w:eastAsia="zh-CN"/>
        </w:rPr>
        <w:t>用水应当符合国家规定的生活饮用水卫生标准;</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val="en-US" w:eastAsia="zh-CN"/>
        </w:rPr>
        <w:t>10.</w:t>
      </w:r>
      <w:r>
        <w:rPr>
          <w:rFonts w:hint="eastAsia" w:ascii="仿宋" w:hAnsi="仿宋" w:eastAsia="仿宋" w:cs="仿宋"/>
          <w:sz w:val="30"/>
          <w:szCs w:val="30"/>
          <w:lang w:eastAsia="zh-CN"/>
        </w:rPr>
        <w:t>使用的洗涤剂、消毒剂应当对人体安全、无害;</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val="en-US" w:eastAsia="zh-CN"/>
        </w:rPr>
        <w:t>11.</w:t>
      </w:r>
      <w:r>
        <w:rPr>
          <w:rFonts w:hint="eastAsia" w:ascii="仿宋" w:hAnsi="仿宋" w:eastAsia="仿宋" w:cs="仿宋"/>
          <w:sz w:val="30"/>
          <w:szCs w:val="30"/>
          <w:lang w:eastAsia="zh-CN"/>
        </w:rPr>
        <w:t>法律、法规规定的其他要求。</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非食品生产经营者从事食品贮存、运输和装卸的，应当符合前款第六项的规定。</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第三十五条　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numPr>
          <w:ilvl w:val="0"/>
          <w:numId w:val="3"/>
        </w:numPr>
        <w:ind w:left="600" w:leftChars="0" w:firstLine="0" w:firstLineChars="0"/>
        <w:rPr>
          <w:rFonts w:hint="eastAsia" w:ascii="楷体" w:hAnsi="楷体" w:eastAsia="楷体" w:cs="楷体"/>
          <w:sz w:val="30"/>
          <w:szCs w:val="30"/>
          <w:lang w:eastAsia="zh-CN"/>
        </w:rPr>
      </w:pPr>
      <w:r>
        <w:rPr>
          <w:rFonts w:hint="eastAsia" w:ascii="楷体" w:hAnsi="楷体" w:eastAsia="楷体" w:cs="楷体"/>
          <w:sz w:val="30"/>
          <w:szCs w:val="30"/>
          <w:lang w:eastAsia="zh-CN"/>
        </w:rPr>
        <w:t>、食品安全事故处置</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第一百零二条国务院组织制定国家食品安全事故应急预案。</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县级以上地方人民政府应当根据有关法律、法规的规定和上级人民政府的食品安全事故应急预案以及本行政区域的实际情况，制定本行政区域的食品安全事故应急预案，并报上一级人民政府备案。</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食品安全事故应急预案应当对食品安全事故分级、事故处置组织指挥体系与职责、预防预警机制、处置程序、应急保障措施等作出规定。</w:t>
      </w:r>
    </w:p>
    <w:p>
      <w:pPr>
        <w:numPr>
          <w:ilvl w:val="0"/>
          <w:numId w:val="3"/>
        </w:numPr>
        <w:ind w:left="600" w:leftChars="0" w:firstLine="0" w:firstLineChars="0"/>
        <w:rPr>
          <w:rFonts w:hint="eastAsia" w:ascii="楷体" w:hAnsi="楷体" w:eastAsia="楷体" w:cs="楷体"/>
          <w:sz w:val="30"/>
          <w:szCs w:val="30"/>
          <w:lang w:eastAsia="zh-CN"/>
        </w:rPr>
      </w:pPr>
      <w:r>
        <w:rPr>
          <w:rFonts w:hint="eastAsia" w:ascii="楷体" w:hAnsi="楷体" w:eastAsia="楷体" w:cs="楷体"/>
          <w:sz w:val="30"/>
          <w:szCs w:val="30"/>
          <w:lang w:eastAsia="zh-CN"/>
        </w:rPr>
        <w:t>、监督管理</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第一百零九条　县级以上人民政府食品安全监督管理部门根据食品安全风险监测、风险评估结果和食品安全状况等，确定监督管理的重点、方式和频次，实施风险分级管理。</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县级以上地方人民政府组织本级食品安全监督管理、农业行政等部门制定本行政区域的食品安全年度监督管理计划，向社会公布并组织实施。</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食品安全年度监督管理计划应当将下列事项作为监督管理的重点：</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(一)专供婴幼儿和其他特定人群的主辅食品;</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(二)保健食品生产过程中的添加行为和按照注册或者备案的技术要求组织生产的情况，保健食品标签、说明书以及宣传材料中有关功能宣传的情况;</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(三)发生食品安全事故风险较高的食品生产经营者;</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(四)食品安全风险监测结果表明可能存在食品安全隐患的事项。</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第一百一十条　县级以上人民政府食品安全监督管理部门履行食品安全监督管理职责，有权采取下列措施，对生产经营者遵守本法的情况进行监督检查：</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(一)进入生产经营场所实施现场检查;</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(二)对生产经营的食品、食品添加剂、食品相关产品进行抽样检验;</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(三)查阅、复制有关合同、票据、账簿以及其他有关资料;</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(四)查封、扣押有证据证明不符合食品安全标准或者有证据证明存在安全隐患以及用于违法生产经营的食品、食品添加剂、食品相关产品;</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(五)查封违法从事生产经营活动的场所。</w:t>
      </w:r>
    </w:p>
    <w:p>
      <w:pPr>
        <w:numPr>
          <w:ilvl w:val="0"/>
          <w:numId w:val="3"/>
        </w:numPr>
        <w:ind w:left="600" w:leftChars="0" w:firstLine="0" w:firstLineChars="0"/>
        <w:rPr>
          <w:rFonts w:hint="eastAsia" w:ascii="楷体" w:hAnsi="楷体" w:eastAsia="楷体" w:cs="楷体"/>
          <w:sz w:val="30"/>
          <w:szCs w:val="30"/>
          <w:lang w:eastAsia="zh-CN"/>
        </w:rPr>
      </w:pPr>
      <w:r>
        <w:rPr>
          <w:rFonts w:hint="eastAsia" w:ascii="楷体" w:hAnsi="楷体" w:eastAsia="楷体" w:cs="楷体"/>
          <w:sz w:val="30"/>
          <w:szCs w:val="30"/>
          <w:lang w:eastAsia="zh-CN"/>
        </w:rPr>
        <w:t>、法律责任和典型案例</w:t>
      </w:r>
    </w:p>
    <w:p>
      <w:pPr>
        <w:ind w:firstLine="600"/>
        <w:rPr>
          <w:rFonts w:hint="eastAsia" w:ascii="仿宋" w:hAnsi="仿宋" w:eastAsia="仿宋" w:cs="仿宋"/>
          <w:sz w:val="30"/>
          <w:szCs w:val="30"/>
          <w:lang w:eastAsia="zh-CN"/>
        </w:rPr>
      </w:pPr>
      <w:r>
        <w:rPr>
          <w:rFonts w:hint="eastAsia" w:ascii="仿宋" w:hAnsi="仿宋" w:eastAsia="仿宋" w:cs="仿宋"/>
          <w:sz w:val="30"/>
          <w:szCs w:val="30"/>
          <w:lang w:eastAsia="zh-CN"/>
        </w:rPr>
        <w:t>第九章法律责任（第一百二十二条到第一百四十九条）一共二十八条。</w:t>
      </w:r>
    </w:p>
    <w:p>
      <w:pPr>
        <w:numPr>
          <w:ilvl w:val="0"/>
          <w:numId w:val="0"/>
        </w:numPr>
        <w:ind w:leftChars="0"/>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　　三、结合县情实际贯彻落实</w:t>
      </w:r>
    </w:p>
    <w:p>
      <w:pPr>
        <w:numPr>
          <w:ilvl w:val="0"/>
          <w:numId w:val="0"/>
        </w:numPr>
        <w:ind w:leftChars="0"/>
        <w:rPr>
          <w:rFonts w:hint="eastAsia" w:ascii="楷体" w:hAnsi="楷体" w:eastAsia="楷体" w:cs="楷体"/>
          <w:b/>
          <w:bCs/>
          <w:sz w:val="30"/>
          <w:szCs w:val="30"/>
          <w:lang w:eastAsia="zh-CN"/>
        </w:rPr>
      </w:pPr>
      <w:r>
        <w:rPr>
          <w:rFonts w:hint="eastAsia" w:ascii="楷体" w:hAnsi="楷体" w:eastAsia="楷体" w:cs="楷体"/>
          <w:b/>
          <w:bCs/>
          <w:sz w:val="30"/>
          <w:szCs w:val="30"/>
          <w:lang w:eastAsia="zh-CN"/>
        </w:rPr>
        <w:t>　　（一）、监管对象基本情况</w:t>
      </w:r>
    </w:p>
    <w:p>
      <w:pPr>
        <w:numPr>
          <w:ilvl w:val="0"/>
          <w:numId w:val="0"/>
        </w:numPr>
        <w:ind w:leftChars="0"/>
        <w:rPr>
          <w:rFonts w:hint="eastAsia" w:ascii="楷体" w:hAnsi="楷体" w:eastAsia="楷体" w:cs="楷体"/>
          <w:b/>
          <w:bCs/>
          <w:sz w:val="30"/>
          <w:szCs w:val="30"/>
          <w:lang w:eastAsia="zh-CN"/>
        </w:rPr>
      </w:pPr>
      <w:r>
        <w:rPr>
          <w:rFonts w:hint="eastAsia" w:ascii="楷体" w:hAnsi="楷体" w:eastAsia="楷体" w:cs="楷体"/>
          <w:b/>
          <w:bCs/>
          <w:sz w:val="30"/>
          <w:szCs w:val="30"/>
          <w:lang w:eastAsia="zh-CN"/>
        </w:rPr>
        <w:t>　　（二）、从以下几个方面进行落实</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　　　</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领导重视，高位推动；</w:t>
      </w:r>
    </w:p>
    <w:p>
      <w:pPr>
        <w:rPr>
          <w:rFonts w:hint="eastAsia" w:ascii="仿宋" w:hAnsi="仿宋" w:eastAsia="仿宋" w:cs="仿宋"/>
          <w:sz w:val="30"/>
          <w:szCs w:val="30"/>
          <w:lang w:eastAsia="zh-CN"/>
        </w:rPr>
      </w:pPr>
      <w:r>
        <w:rPr>
          <w:rFonts w:hint="eastAsia" w:ascii="仿宋" w:hAnsi="仿宋" w:eastAsia="仿宋" w:cs="仿宋"/>
          <w:sz w:val="30"/>
          <w:szCs w:val="30"/>
          <w:lang w:val="en-US" w:eastAsia="zh-CN"/>
        </w:rPr>
        <w:t>　　　2.</w:t>
      </w:r>
      <w:r>
        <w:rPr>
          <w:rFonts w:hint="eastAsia" w:ascii="仿宋" w:hAnsi="仿宋" w:eastAsia="仿宋" w:cs="仿宋"/>
          <w:sz w:val="30"/>
          <w:szCs w:val="30"/>
          <w:lang w:eastAsia="zh-CN"/>
        </w:rPr>
        <w:t>加强宣传，营造氛围；</w:t>
      </w:r>
    </w:p>
    <w:p>
      <w:pPr>
        <w:rPr>
          <w:rFonts w:hint="eastAsia" w:ascii="仿宋" w:hAnsi="仿宋" w:eastAsia="仿宋" w:cs="仿宋"/>
          <w:sz w:val="30"/>
          <w:szCs w:val="30"/>
          <w:lang w:eastAsia="zh-CN"/>
        </w:rPr>
      </w:pPr>
      <w:r>
        <w:rPr>
          <w:rFonts w:hint="eastAsia" w:ascii="仿宋" w:hAnsi="仿宋" w:eastAsia="仿宋" w:cs="仿宋"/>
          <w:sz w:val="30"/>
          <w:szCs w:val="30"/>
          <w:lang w:val="en-US" w:eastAsia="zh-CN"/>
        </w:rPr>
        <w:t>　　　3.</w:t>
      </w:r>
      <w:r>
        <w:rPr>
          <w:rFonts w:hint="eastAsia" w:ascii="仿宋" w:hAnsi="仿宋" w:eastAsia="仿宋" w:cs="仿宋"/>
          <w:sz w:val="30"/>
          <w:szCs w:val="30"/>
          <w:lang w:eastAsia="zh-CN"/>
        </w:rPr>
        <w:t>靶向发力，严管重罚。</w:t>
      </w:r>
    </w:p>
    <w:p>
      <w:pPr>
        <w:numPr>
          <w:ilvl w:val="0"/>
          <w:numId w:val="0"/>
        </w:numPr>
        <w:ind w:leftChars="0"/>
        <w:rPr>
          <w:rFonts w:hint="eastAsia" w:ascii="仿宋" w:hAnsi="仿宋" w:eastAsia="仿宋" w:cs="仿宋"/>
          <w:b/>
          <w:bCs/>
          <w:sz w:val="30"/>
          <w:szCs w:val="30"/>
          <w:lang w:eastAsia="zh-CN"/>
        </w:rPr>
      </w:pPr>
    </w:p>
    <w:p>
      <w:pPr>
        <w:numPr>
          <w:ilvl w:val="0"/>
          <w:numId w:val="0"/>
        </w:numPr>
        <w:ind w:left="600" w:leftChars="0"/>
        <w:rPr>
          <w:rFonts w:hint="eastAsia" w:ascii="楷体" w:hAnsi="楷体" w:eastAsia="楷体" w:cs="楷体"/>
          <w:sz w:val="30"/>
          <w:szCs w:val="30"/>
          <w:lang w:eastAsia="zh-CN"/>
        </w:rPr>
      </w:pPr>
    </w:p>
    <w:p>
      <w:pPr>
        <w:numPr>
          <w:ilvl w:val="0"/>
          <w:numId w:val="0"/>
        </w:numPr>
        <w:ind w:left="600" w:leftChars="0"/>
        <w:rPr>
          <w:rFonts w:hint="eastAsia" w:ascii="楷体" w:hAnsi="楷体" w:eastAsia="楷体" w:cs="楷体"/>
          <w:sz w:val="30"/>
          <w:szCs w:val="30"/>
          <w:lang w:eastAsia="zh-CN"/>
        </w:rPr>
      </w:pPr>
    </w:p>
    <w:p>
      <w:pPr>
        <w:numPr>
          <w:ilvl w:val="0"/>
          <w:numId w:val="0"/>
        </w:numPr>
        <w:ind w:left="600" w:leftChars="0"/>
        <w:rPr>
          <w:rFonts w:hint="eastAsia" w:ascii="楷体" w:hAnsi="楷体" w:eastAsia="楷体" w:cs="楷体"/>
          <w:sz w:val="30"/>
          <w:szCs w:val="30"/>
          <w:lang w:eastAsia="zh-CN"/>
        </w:rPr>
      </w:pPr>
    </w:p>
    <w:p>
      <w:pPr>
        <w:numPr>
          <w:ilvl w:val="0"/>
          <w:numId w:val="0"/>
        </w:numPr>
        <w:ind w:left="600" w:leftChars="0"/>
        <w:rPr>
          <w:rFonts w:hint="eastAsia" w:ascii="楷体" w:hAnsi="楷体" w:eastAsia="楷体" w:cs="楷体"/>
          <w:sz w:val="30"/>
          <w:szCs w:val="30"/>
          <w:lang w:eastAsia="zh-CN"/>
        </w:rPr>
      </w:pPr>
    </w:p>
    <w:p>
      <w:pPr>
        <w:numPr>
          <w:ilvl w:val="0"/>
          <w:numId w:val="0"/>
        </w:numPr>
        <w:ind w:left="600" w:leftChars="0"/>
        <w:rPr>
          <w:rFonts w:hint="eastAsia" w:ascii="楷体" w:hAnsi="楷体" w:eastAsia="楷体" w:cs="楷体"/>
          <w:sz w:val="30"/>
          <w:szCs w:val="30"/>
          <w:lang w:eastAsia="zh-CN"/>
        </w:rPr>
      </w:pPr>
    </w:p>
    <w:p>
      <w:pPr>
        <w:numPr>
          <w:ilvl w:val="0"/>
          <w:numId w:val="0"/>
        </w:numPr>
        <w:ind w:left="600" w:leftChars="0"/>
        <w:rPr>
          <w:rFonts w:hint="eastAsia" w:ascii="楷体" w:hAnsi="楷体" w:eastAsia="楷体" w:cs="楷体"/>
          <w:sz w:val="30"/>
          <w:szCs w:val="30"/>
          <w:lang w:eastAsia="zh-CN"/>
        </w:rPr>
      </w:pPr>
    </w:p>
    <w:p>
      <w:pPr>
        <w:numPr>
          <w:ilvl w:val="0"/>
          <w:numId w:val="0"/>
        </w:numPr>
        <w:ind w:left="600" w:leftChars="0"/>
        <w:rPr>
          <w:rFonts w:hint="eastAsia" w:ascii="楷体" w:hAnsi="楷体" w:eastAsia="楷体" w:cs="楷体"/>
          <w:sz w:val="30"/>
          <w:szCs w:val="30"/>
          <w:lang w:eastAsia="zh-CN"/>
        </w:rPr>
      </w:pPr>
    </w:p>
    <w:p>
      <w:pPr>
        <w:numPr>
          <w:ilvl w:val="0"/>
          <w:numId w:val="0"/>
        </w:numPr>
        <w:ind w:left="600" w:leftChars="0"/>
        <w:rPr>
          <w:rFonts w:hint="eastAsia" w:ascii="楷体" w:hAnsi="楷体" w:eastAsia="楷体" w:cs="楷体"/>
          <w:sz w:val="30"/>
          <w:szCs w:val="30"/>
          <w:lang w:eastAsia="zh-CN"/>
        </w:rPr>
      </w:pPr>
    </w:p>
    <w:p>
      <w:pPr>
        <w:numPr>
          <w:ilvl w:val="0"/>
          <w:numId w:val="0"/>
        </w:numPr>
        <w:ind w:left="600" w:leftChars="0"/>
        <w:rPr>
          <w:rFonts w:hint="eastAsia" w:ascii="楷体" w:hAnsi="楷体" w:eastAsia="楷体" w:cs="楷体"/>
          <w:sz w:val="30"/>
          <w:szCs w:val="30"/>
          <w:lang w:eastAsia="zh-CN"/>
        </w:rPr>
      </w:pPr>
    </w:p>
    <w:p>
      <w:pPr>
        <w:numPr>
          <w:ilvl w:val="0"/>
          <w:numId w:val="0"/>
        </w:numPr>
        <w:ind w:left="600" w:leftChars="0"/>
        <w:rPr>
          <w:rFonts w:hint="eastAsia" w:ascii="楷体" w:hAnsi="楷体" w:eastAsia="楷体" w:cs="楷体"/>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F8674"/>
    <w:multiLevelType w:val="singleLevel"/>
    <w:tmpl w:val="DB7F8674"/>
    <w:lvl w:ilvl="0" w:tentative="0">
      <w:start w:val="2"/>
      <w:numFmt w:val="chineseCounting"/>
      <w:suff w:val="nothing"/>
      <w:lvlText w:val="（%1）"/>
      <w:lvlJc w:val="left"/>
      <w:pPr>
        <w:ind w:left="600" w:leftChars="0" w:firstLine="0" w:firstLineChars="0"/>
      </w:pPr>
      <w:rPr>
        <w:rFonts w:hint="eastAsia"/>
      </w:rPr>
    </w:lvl>
  </w:abstractNum>
  <w:abstractNum w:abstractNumId="1">
    <w:nsid w:val="E58A7AC0"/>
    <w:multiLevelType w:val="singleLevel"/>
    <w:tmpl w:val="E58A7AC0"/>
    <w:lvl w:ilvl="0" w:tentative="0">
      <w:start w:val="4"/>
      <w:numFmt w:val="chineseCounting"/>
      <w:suff w:val="space"/>
      <w:lvlText w:val="（%1）"/>
      <w:lvlJc w:val="left"/>
      <w:pPr>
        <w:ind w:left="600" w:leftChars="0" w:firstLine="0" w:firstLineChars="0"/>
      </w:pPr>
      <w:rPr>
        <w:rFonts w:hint="eastAsia"/>
      </w:rPr>
    </w:lvl>
  </w:abstractNum>
  <w:abstractNum w:abstractNumId="2">
    <w:nsid w:val="73FBC645"/>
    <w:multiLevelType w:val="singleLevel"/>
    <w:tmpl w:val="73FBC64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iODUzZjE5MGQwOTk2ZDdhYTcxMjUwZDVmMTYxZDYifQ=="/>
  </w:docVars>
  <w:rsids>
    <w:rsidRoot w:val="00A56FF9"/>
    <w:rsid w:val="0052448C"/>
    <w:rsid w:val="00780F62"/>
    <w:rsid w:val="00A56FF9"/>
    <w:rsid w:val="12811D27"/>
    <w:rsid w:val="1F163117"/>
    <w:rsid w:val="290850EE"/>
    <w:rsid w:val="2B682DD0"/>
    <w:rsid w:val="2BFF6C3E"/>
    <w:rsid w:val="2C3779A6"/>
    <w:rsid w:val="41342ADE"/>
    <w:rsid w:val="5F0E15BF"/>
    <w:rsid w:val="72DF2420"/>
    <w:rsid w:val="7B322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16</Pages>
  <Words>7005</Words>
  <Characters>7142</Characters>
  <Lines>1</Lines>
  <Paragraphs>1</Paragraphs>
  <TotalTime>1037</TotalTime>
  <ScaleCrop>false</ScaleCrop>
  <LinksUpToDate>false</LinksUpToDate>
  <CharactersWithSpaces>7285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2022-10-27T00:33:00Z</dcterms:created>
  <dc:creator>Administrator</dc:creator>
  <cp:lastModifiedBy>余忠升</cp:lastModifiedBy>
  <dcterms:modified xsi:type="dcterms:W3CDTF">2022-11-01T08:01:16Z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31091348E4CE4ACC9E8BFDEC60C56F34</vt:lpwstr>
  </property>
</Properties>
</file>